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56F1" w14:textId="3F254B30" w:rsidR="009751ED" w:rsidRPr="004B424F" w:rsidRDefault="009751ED" w:rsidP="009751E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B424F">
        <w:rPr>
          <w:rFonts w:ascii="Arial" w:eastAsia="Times New Roman" w:hAnsi="Arial" w:cs="Arial"/>
          <w:b/>
          <w:sz w:val="20"/>
          <w:szCs w:val="20"/>
          <w:lang w:eastAsia="hr-HR"/>
        </w:rPr>
        <w:t>OBRAZLOŽENJE OPĆEG DIJELA PRORAČUNA</w:t>
      </w:r>
    </w:p>
    <w:p w14:paraId="316F2E8D" w14:textId="77777777" w:rsidR="009751ED" w:rsidRPr="004B424F" w:rsidRDefault="009751ED" w:rsidP="007300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CE9BCAB" w14:textId="4F23F4B2" w:rsidR="007300A9" w:rsidRPr="004B424F" w:rsidRDefault="00F11EFC" w:rsidP="007300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B424F">
        <w:rPr>
          <w:rFonts w:ascii="Arial" w:eastAsia="Times New Roman" w:hAnsi="Arial" w:cs="Arial"/>
          <w:b/>
          <w:sz w:val="20"/>
          <w:szCs w:val="20"/>
          <w:lang w:eastAsia="hr-HR"/>
        </w:rPr>
        <w:t>UVODNE NAPOMENE</w:t>
      </w:r>
    </w:p>
    <w:p w14:paraId="7DB82E3A" w14:textId="77777777" w:rsidR="00F11EFC" w:rsidRPr="004B424F" w:rsidRDefault="00F11EFC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F7E4E9" w14:textId="0FEF6673" w:rsidR="007300A9" w:rsidRDefault="007300A9" w:rsidP="00647B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Na osnovi članka </w:t>
      </w:r>
      <w:r w:rsidR="00490C59" w:rsidRPr="004B424F">
        <w:rPr>
          <w:rFonts w:ascii="Arial" w:eastAsia="Times New Roman" w:hAnsi="Arial" w:cs="Arial"/>
          <w:sz w:val="20"/>
          <w:szCs w:val="20"/>
          <w:lang w:eastAsia="hr-HR"/>
        </w:rPr>
        <w:t>42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>. Zakona o proračunu (Narodne novine 144/21), predstavničko tijelo jedinice lokalne i područne (regionalne) samou</w:t>
      </w:r>
      <w:r w:rsidR="006A20EC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prave </w:t>
      </w:r>
      <w:r w:rsidR="000F7B42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do konca tekuće godine </w:t>
      </w:r>
      <w:r w:rsidR="006A20EC" w:rsidRPr="004B424F">
        <w:rPr>
          <w:rFonts w:ascii="Arial" w:eastAsia="Times New Roman" w:hAnsi="Arial" w:cs="Arial"/>
          <w:sz w:val="20"/>
          <w:szCs w:val="20"/>
          <w:lang w:eastAsia="hr-HR"/>
        </w:rPr>
        <w:t>donosi proračun za iduću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 proračunsku godinu i projekcije za sljedeće dvije godine, i to u roku koji omogućuje primjenu proračuna od 1. siječnja godine za koju se donosi proračun. Uz proračun se donosi i </w:t>
      </w:r>
      <w:r w:rsidR="00647BCB" w:rsidRPr="004B424F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>dluka o izvršavanju proračuna</w:t>
      </w:r>
      <w:r w:rsidR="00C26A34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 za sljedeću godinu</w:t>
      </w:r>
      <w:r w:rsidR="00246B9E" w:rsidRPr="004B424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C85B3A" w:rsidRPr="004B424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4B424F">
        <w:rPr>
          <w:rFonts w:ascii="Arial" w:eastAsia="Times New Roman" w:hAnsi="Arial" w:cs="Arial"/>
          <w:sz w:val="20"/>
          <w:szCs w:val="20"/>
          <w:lang w:eastAsia="hr-HR"/>
        </w:rPr>
        <w:t>Donošenjem navedenih dokumenata omogućava se financiranje poslova i programa radi ostvarivanja javnih interesa i potreba građana.</w:t>
      </w:r>
    </w:p>
    <w:p w14:paraId="6E39FDC6" w14:textId="41C99761" w:rsidR="00F425BD" w:rsidRDefault="00F425BD" w:rsidP="00647B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D5D997" w14:textId="5D828B3E" w:rsidR="00F44B79" w:rsidRDefault="00984D67" w:rsidP="00F44B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Makroekonomske projekcije Ministarstva financija sadržane u </w:t>
      </w:r>
      <w:r w:rsidR="00AB6CFB">
        <w:rPr>
          <w:rFonts w:ascii="Arial" w:eastAsia="Times New Roman" w:hAnsi="Arial" w:cs="Arial"/>
          <w:sz w:val="20"/>
          <w:szCs w:val="20"/>
          <w:lang w:eastAsia="hr-HR"/>
        </w:rPr>
        <w:t>N</w:t>
      </w:r>
      <w:r w:rsidR="00F438F8">
        <w:rPr>
          <w:rFonts w:ascii="Arial" w:eastAsia="Times New Roman" w:hAnsi="Arial" w:cs="Arial"/>
          <w:sz w:val="20"/>
          <w:szCs w:val="20"/>
          <w:lang w:eastAsia="hr-HR"/>
        </w:rPr>
        <w:t xml:space="preserve">acrtu </w:t>
      </w:r>
      <w:r w:rsidR="00AB6CFB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F438F8">
        <w:rPr>
          <w:rFonts w:ascii="Arial" w:eastAsia="Times New Roman" w:hAnsi="Arial" w:cs="Arial"/>
          <w:sz w:val="20"/>
          <w:szCs w:val="20"/>
          <w:lang w:eastAsia="hr-HR"/>
        </w:rPr>
        <w:t>roračunskog plana Republike Hrvatske za 2026. iz listopada ove godine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45650">
        <w:rPr>
          <w:rFonts w:ascii="Arial" w:eastAsia="Times New Roman" w:hAnsi="Arial" w:cs="Arial"/>
          <w:sz w:val="20"/>
          <w:szCs w:val="20"/>
          <w:lang w:eastAsia="hr-HR"/>
        </w:rPr>
        <w:t>predviđaju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usporavanje gospodarske aktivnosti. </w:t>
      </w:r>
      <w:r w:rsidR="000B3634" w:rsidRPr="00984D67">
        <w:rPr>
          <w:rFonts w:ascii="Arial" w:eastAsia="Times New Roman" w:hAnsi="Arial" w:cs="Arial"/>
          <w:sz w:val="20"/>
          <w:szCs w:val="20"/>
          <w:lang w:eastAsia="hr-HR"/>
        </w:rPr>
        <w:t>U nadolazećem razdoblju očekuje se niža stopa gospodarskog rasta u odnosu na</w:t>
      </w:r>
      <w:r w:rsidR="000B363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B3634" w:rsidRPr="00984D67">
        <w:rPr>
          <w:rFonts w:ascii="Arial" w:eastAsia="Times New Roman" w:hAnsi="Arial" w:cs="Arial"/>
          <w:sz w:val="20"/>
          <w:szCs w:val="20"/>
          <w:lang w:eastAsia="hr-HR"/>
        </w:rPr>
        <w:t>razdoblje od 2022. do 2025., uz već prisutno usporavanje dinamike rasta</w:t>
      </w:r>
      <w:r w:rsidR="000B363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B3634" w:rsidRPr="00984D67">
        <w:rPr>
          <w:rFonts w:ascii="Arial" w:eastAsia="Times New Roman" w:hAnsi="Arial" w:cs="Arial"/>
          <w:sz w:val="20"/>
          <w:szCs w:val="20"/>
          <w:lang w:eastAsia="hr-HR"/>
        </w:rPr>
        <w:t>realnog BDP-a u tekućoj godini.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84D67">
        <w:rPr>
          <w:rFonts w:ascii="Arial" w:eastAsia="Times New Roman" w:hAnsi="Arial" w:cs="Arial"/>
          <w:sz w:val="20"/>
          <w:szCs w:val="20"/>
          <w:lang w:eastAsia="hr-HR"/>
        </w:rPr>
        <w:t>Očekuje se da će realni rast BDP-a usporiti s 3,2 % u 2025. na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84D67">
        <w:rPr>
          <w:rFonts w:ascii="Arial" w:eastAsia="Times New Roman" w:hAnsi="Arial" w:cs="Arial"/>
          <w:sz w:val="20"/>
          <w:szCs w:val="20"/>
          <w:lang w:eastAsia="hr-HR"/>
        </w:rPr>
        <w:t>2,7 % u 2026., pri čemu će državna i osobna potrošnja ostati glavni pokretači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84D67">
        <w:rPr>
          <w:rFonts w:ascii="Arial" w:eastAsia="Times New Roman" w:hAnsi="Arial" w:cs="Arial"/>
          <w:sz w:val="20"/>
          <w:szCs w:val="20"/>
          <w:lang w:eastAsia="hr-HR"/>
        </w:rPr>
        <w:t>rasta.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237B1DB" w14:textId="77777777" w:rsidR="00F44B79" w:rsidRDefault="00F44B79" w:rsidP="00F44B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E613BD9" w14:textId="0CB2B1F2" w:rsidR="00F44B79" w:rsidRPr="00984D67" w:rsidRDefault="00F44B79" w:rsidP="002711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51F9A81" wp14:editId="29807B60">
            <wp:extent cx="3042138" cy="2784603"/>
            <wp:effectExtent l="0" t="0" r="635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2244" cy="282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29BB" w14:textId="488C9F83" w:rsidR="00945650" w:rsidRDefault="00945650" w:rsidP="009456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Nadalje, o</w:t>
      </w:r>
      <w:r w:rsidRPr="00F425BD">
        <w:rPr>
          <w:rFonts w:ascii="Arial" w:eastAsia="Times New Roman" w:hAnsi="Arial" w:cs="Arial"/>
          <w:sz w:val="20"/>
          <w:szCs w:val="20"/>
          <w:lang w:eastAsia="hr-HR"/>
        </w:rPr>
        <w:t>čekuje se</w:t>
      </w:r>
      <w:r w:rsidR="00A06D57">
        <w:rPr>
          <w:rFonts w:ascii="Arial" w:eastAsia="Times New Roman" w:hAnsi="Arial" w:cs="Arial"/>
          <w:sz w:val="20"/>
          <w:szCs w:val="20"/>
          <w:lang w:eastAsia="hr-HR"/>
        </w:rPr>
        <w:t xml:space="preserve"> da inflacija potrošačkih cijena nakon trećeg tromjesečja 2025. počne postupno usporavati 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>tako da bi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n</w:t>
      </w:r>
      <w:r w:rsidRPr="00F425BD">
        <w:rPr>
          <w:rFonts w:ascii="Arial" w:eastAsia="Times New Roman" w:hAnsi="Arial" w:cs="Arial"/>
          <w:sz w:val="20"/>
          <w:szCs w:val="20"/>
          <w:lang w:eastAsia="hr-HR"/>
        </w:rPr>
        <w:t xml:space="preserve">a razini cijele 2026. </w:t>
      </w:r>
      <w:r>
        <w:rPr>
          <w:rFonts w:ascii="Arial" w:eastAsia="Times New Roman" w:hAnsi="Arial" w:cs="Arial"/>
          <w:sz w:val="20"/>
          <w:szCs w:val="20"/>
          <w:lang w:eastAsia="hr-HR"/>
        </w:rPr>
        <w:t>iznosila prosječno 2,8 %.</w:t>
      </w:r>
    </w:p>
    <w:p w14:paraId="2ED930A4" w14:textId="49E4692B" w:rsidR="00F425BD" w:rsidRDefault="00F425BD" w:rsidP="000071E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A17A5FB" w14:textId="70ACA4D3" w:rsidR="00F44B79" w:rsidRPr="00F44B79" w:rsidRDefault="00F44B79" w:rsidP="002711A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0"/>
          <w:szCs w:val="20"/>
          <w:lang w:val="en-US" w:eastAsia="hr-HR"/>
        </w:rPr>
      </w:pPr>
      <w:r>
        <w:rPr>
          <w:noProof/>
          <w:lang w:eastAsia="hr-HR"/>
        </w:rPr>
        <w:drawing>
          <wp:inline distT="0" distB="0" distL="0" distR="0" wp14:anchorId="2A3C34CE" wp14:editId="3847CB98">
            <wp:extent cx="3033347" cy="1633702"/>
            <wp:effectExtent l="0" t="0" r="0" b="508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4382" cy="165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F7FA" w14:textId="77777777" w:rsidR="00F44B79" w:rsidRDefault="00F44B79" w:rsidP="00D56A04">
      <w:pPr>
        <w:pStyle w:val="H2"/>
        <w:numPr>
          <w:ilvl w:val="0"/>
          <w:numId w:val="0"/>
        </w:numPr>
        <w:spacing w:after="0"/>
        <w:rPr>
          <w:rFonts w:cs="Arial"/>
          <w:color w:val="auto"/>
          <w:szCs w:val="20"/>
        </w:rPr>
      </w:pPr>
    </w:p>
    <w:p w14:paraId="23BC655E" w14:textId="4813A33F" w:rsidR="00D56A04" w:rsidRPr="002E59D2" w:rsidRDefault="00D56A04" w:rsidP="00D56A04">
      <w:pPr>
        <w:pStyle w:val="H2"/>
        <w:numPr>
          <w:ilvl w:val="0"/>
          <w:numId w:val="0"/>
        </w:numPr>
        <w:spacing w:after="0"/>
        <w:rPr>
          <w:rFonts w:cs="Arial"/>
          <w:bCs/>
          <w:color w:val="auto"/>
          <w:szCs w:val="20"/>
        </w:rPr>
      </w:pPr>
      <w:r w:rsidRPr="002E59D2">
        <w:rPr>
          <w:rFonts w:cs="Arial"/>
          <w:color w:val="auto"/>
          <w:szCs w:val="20"/>
        </w:rPr>
        <w:t xml:space="preserve">U siječnju 2024. donesen je Plan razvoja Grada Zagreba za razdoblje do kraja 2027. kao srednjoročni akt strateškog planiranja kojim su definirane ključne odrednice razvoja Grada u predmetnom razdoblju. Prema strateškom okviru </w:t>
      </w:r>
      <w:r w:rsidR="00246B9E" w:rsidRPr="002E59D2">
        <w:rPr>
          <w:rFonts w:cs="Arial"/>
          <w:color w:val="auto"/>
          <w:szCs w:val="20"/>
        </w:rPr>
        <w:t xml:space="preserve">iz navedenog </w:t>
      </w:r>
      <w:r w:rsidRPr="002E59D2">
        <w:rPr>
          <w:rFonts w:cs="Arial"/>
          <w:color w:val="auto"/>
          <w:szCs w:val="20"/>
        </w:rPr>
        <w:t>Plana, p</w:t>
      </w:r>
      <w:r w:rsidRPr="002E59D2">
        <w:rPr>
          <w:rFonts w:cs="Arial"/>
          <w:bCs/>
          <w:color w:val="auto"/>
          <w:szCs w:val="20"/>
        </w:rPr>
        <w:t xml:space="preserve">rioriteti javnih politika razvoja Grada u srednjoročnom razdoblju, odabrani u skladu sa zaključcima provedene analize razvojnih potreba i potencijala, su: </w:t>
      </w:r>
    </w:p>
    <w:p w14:paraId="0D898112" w14:textId="77777777" w:rsidR="00D56A04" w:rsidRPr="002E59D2" w:rsidRDefault="00D56A04" w:rsidP="00D56A04">
      <w:pPr>
        <w:pStyle w:val="H2"/>
        <w:numPr>
          <w:ilvl w:val="0"/>
          <w:numId w:val="0"/>
        </w:numPr>
        <w:spacing w:after="0"/>
        <w:rPr>
          <w:rFonts w:cs="Arial"/>
          <w:bCs/>
          <w:color w:val="auto"/>
          <w:szCs w:val="20"/>
        </w:rPr>
      </w:pPr>
    </w:p>
    <w:p w14:paraId="6F2952AC" w14:textId="79A4992F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Zeleno i otporno gospodarstvo</w:t>
      </w:r>
      <w:r w:rsidR="00246B9E" w:rsidRPr="002E59D2">
        <w:rPr>
          <w:rFonts w:cs="Arial"/>
          <w:bCs/>
          <w:color w:val="auto"/>
          <w:szCs w:val="20"/>
        </w:rPr>
        <w:t>;</w:t>
      </w:r>
    </w:p>
    <w:p w14:paraId="1F558719" w14:textId="3A95A9F1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Društvena jednakost i kvalitetne i dostupne društvene usluge</w:t>
      </w:r>
      <w:r w:rsidR="00246B9E" w:rsidRPr="002E59D2">
        <w:rPr>
          <w:rFonts w:cs="Arial"/>
          <w:bCs/>
          <w:color w:val="auto"/>
          <w:szCs w:val="20"/>
        </w:rPr>
        <w:t>;</w:t>
      </w:r>
    </w:p>
    <w:p w14:paraId="2F2C923D" w14:textId="1AA564C9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Učinkovito i održivo upravljanje prostornim i prirodnim resursima</w:t>
      </w:r>
      <w:r w:rsidR="00246B9E" w:rsidRPr="002E59D2">
        <w:rPr>
          <w:rFonts w:cs="Arial"/>
          <w:bCs/>
          <w:color w:val="auto"/>
          <w:szCs w:val="20"/>
        </w:rPr>
        <w:t>;</w:t>
      </w:r>
    </w:p>
    <w:p w14:paraId="5BF304ED" w14:textId="56182B84" w:rsidR="00D56A04" w:rsidRPr="002E59D2" w:rsidRDefault="00D56A04" w:rsidP="00663492">
      <w:pPr>
        <w:pStyle w:val="H2"/>
        <w:numPr>
          <w:ilvl w:val="1"/>
          <w:numId w:val="4"/>
        </w:numPr>
        <w:spacing w:after="0"/>
        <w:rPr>
          <w:rFonts w:cs="Arial"/>
          <w:color w:val="auto"/>
          <w:szCs w:val="20"/>
        </w:rPr>
      </w:pPr>
      <w:r w:rsidRPr="002E59D2">
        <w:rPr>
          <w:rFonts w:cs="Arial"/>
          <w:bCs/>
          <w:color w:val="auto"/>
          <w:szCs w:val="20"/>
        </w:rPr>
        <w:t>Zelena tranzicija i digitalna transformacija</w:t>
      </w:r>
      <w:r w:rsidR="00246B9E" w:rsidRPr="002E59D2">
        <w:rPr>
          <w:rFonts w:cs="Arial"/>
          <w:bCs/>
          <w:color w:val="auto"/>
          <w:szCs w:val="20"/>
        </w:rPr>
        <w:t>.</w:t>
      </w:r>
    </w:p>
    <w:p w14:paraId="1510DEFA" w14:textId="3795DCDD" w:rsidR="00D56A04" w:rsidRPr="003B3DB5" w:rsidRDefault="00D56A04" w:rsidP="00D56A04">
      <w:pPr>
        <w:pStyle w:val="H2"/>
        <w:numPr>
          <w:ilvl w:val="0"/>
          <w:numId w:val="0"/>
        </w:numPr>
        <w:spacing w:after="0"/>
        <w:ind w:left="567" w:hanging="567"/>
        <w:rPr>
          <w:rFonts w:cs="Arial"/>
          <w:color w:val="FF0000"/>
          <w:szCs w:val="20"/>
        </w:rPr>
      </w:pPr>
    </w:p>
    <w:p w14:paraId="3240601A" w14:textId="3BE61030" w:rsidR="007300A9" w:rsidRPr="00F44B79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Sukladno Zakonu o proračunu, Ministarstvo financija sastavilo je Upute za izradu proračuna jedinica lokalne i područne (regionalne)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samouprave</w:t>
      </w:r>
      <w:r w:rsidR="00D56A04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za razdoblje 202</w:t>
      </w:r>
      <w:r w:rsidR="002E59D2" w:rsidRPr="00F44B79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D56A04" w:rsidRPr="00F44B79">
        <w:rPr>
          <w:rFonts w:ascii="Arial" w:eastAsia="Times New Roman" w:hAnsi="Arial" w:cs="Arial"/>
          <w:sz w:val="20"/>
          <w:szCs w:val="20"/>
          <w:lang w:eastAsia="hr-HR"/>
        </w:rPr>
        <w:t>.-202</w:t>
      </w:r>
      <w:r w:rsidR="002E59D2" w:rsidRPr="00F44B79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D56A04" w:rsidRPr="00F44B79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Upute</w:t>
      </w:r>
      <w:r w:rsidR="00687D41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sadrže metodologiju izrade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lastRenderedPageBreak/>
        <w:t>proračuna jedinica lokalne i po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dručne (regionalne) samouprave 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financijskih planova proračunskih 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i izvanproračunskih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korisnika te planiranj</w:t>
      </w:r>
      <w:r w:rsidR="00C85B3A" w:rsidRPr="00F44B79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rashoda proračunskih korisnika 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i postupanje s viškovima </w:t>
      </w:r>
      <w:r w:rsidRPr="00F44B79">
        <w:rPr>
          <w:rFonts w:ascii="Arial" w:eastAsia="Times New Roman" w:hAnsi="Arial" w:cs="Arial"/>
          <w:sz w:val="20"/>
          <w:szCs w:val="20"/>
          <w:lang w:eastAsia="hr-HR"/>
        </w:rPr>
        <w:t>u sklopu decentraliziranih funkcija.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Uz navedeno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 xml:space="preserve"> predmetnim uputama obuhvaćene su novosti i izmjene u </w:t>
      </w:r>
      <w:r w:rsidR="00F44B79" w:rsidRPr="00F44B79">
        <w:rPr>
          <w:rFonts w:ascii="Arial" w:eastAsia="Times New Roman" w:hAnsi="Arial" w:cs="Arial"/>
          <w:sz w:val="20"/>
          <w:szCs w:val="20"/>
          <w:lang w:eastAsia="hr-HR"/>
        </w:rPr>
        <w:t>proračunskim klasifikacijama</w:t>
      </w:r>
      <w:r w:rsidR="001B3D7E" w:rsidRPr="00F44B79">
        <w:rPr>
          <w:rFonts w:ascii="Arial" w:eastAsia="Times New Roman" w:hAnsi="Arial" w:cs="Arial"/>
          <w:sz w:val="20"/>
          <w:szCs w:val="20"/>
          <w:lang w:eastAsia="hr-HR"/>
        </w:rPr>
        <w:t>, transparentnost proračuna, planiranje pojedinih specifičnosti i druge bitne odrednice.</w:t>
      </w:r>
    </w:p>
    <w:p w14:paraId="6AB38AAD" w14:textId="77777777" w:rsidR="007300A9" w:rsidRPr="003B3DB5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</w:p>
    <w:p w14:paraId="04DC08C3" w14:textId="04B0F32C" w:rsidR="007300A9" w:rsidRPr="002E59D2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S ciljem što realnijeg utvrđivanja visine prihoda i primitaka Proračuna Grada Zagreba, Gradski ure</w:t>
      </w:r>
      <w:r w:rsidR="006A20EC" w:rsidRPr="002E59D2">
        <w:rPr>
          <w:rFonts w:ascii="Arial" w:eastAsia="Times New Roman" w:hAnsi="Arial" w:cs="Arial"/>
          <w:sz w:val="20"/>
          <w:szCs w:val="20"/>
          <w:lang w:eastAsia="hr-HR"/>
        </w:rPr>
        <w:t>d za financije i javnu nabavu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zatražio</w:t>
      </w:r>
      <w:r w:rsidR="006A20EC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je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od gradskih ureda procjenu namjenskih i drugih prihoda za čiju su naplatu odgovorni u okviru svoje nadležnosti. Ostale prihode i primitke procijenio je Gradski ured za financije i javnu nabavu. Prihodi su procijenjeni na osnovi dosadašnjeg ostvarenja te procjene očekivane naplate u idućim godinama. </w:t>
      </w:r>
    </w:p>
    <w:p w14:paraId="0848C243" w14:textId="77777777" w:rsidR="007300A9" w:rsidRPr="003B3DB5" w:rsidRDefault="007300A9" w:rsidP="007300A9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949F5C8" w14:textId="4718D1FB" w:rsidR="00EE521A" w:rsidRPr="002E59D2" w:rsidRDefault="007300A9" w:rsidP="00EE52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Gradski ured za financije i javnu nabavu je izradio i dostavio upute za planiranje proračuna Grada Zagreba svim gradskim uredima, zavodima i službama. Upute su sadržavale </w:t>
      </w:r>
      <w:r w:rsidR="00121DE4" w:rsidRPr="002E59D2">
        <w:rPr>
          <w:rFonts w:ascii="Arial" w:eastAsia="Times New Roman" w:hAnsi="Arial" w:cs="Arial"/>
          <w:sz w:val="20"/>
          <w:szCs w:val="20"/>
          <w:lang w:eastAsia="hr-HR"/>
        </w:rPr>
        <w:t>temeljne makroekonomske pretpostavke za izradu prijedloga proračuna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121DE4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opis planiranih politika, 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>procjenu prihoda i primitaka te rashoda i izdataka</w:t>
      </w:r>
      <w:r w:rsidR="00121DE4" w:rsidRPr="002E59D2">
        <w:rPr>
          <w:rFonts w:ascii="Arial" w:eastAsia="Times New Roman" w:hAnsi="Arial" w:cs="Arial"/>
          <w:sz w:val="20"/>
          <w:szCs w:val="20"/>
          <w:lang w:eastAsia="hr-HR"/>
        </w:rPr>
        <w:t>, način pripreme i metodologiju te terminski plan za izradu proračuna i prijedloga financijskih planova proračunskih korisnika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2E59D2">
        <w:t xml:space="preserve"> </w:t>
      </w:r>
      <w:r w:rsidRPr="002E59D2">
        <w:rPr>
          <w:rFonts w:ascii="Arial" w:hAnsi="Arial" w:cs="Arial"/>
          <w:sz w:val="20"/>
          <w:szCs w:val="20"/>
        </w:rPr>
        <w:t>Gradski ured za financije i javnu nabavu je kroz upute za izradu proračuna dao limite za svako gradsko upravno tijelo zasebno.</w:t>
      </w:r>
      <w:r w:rsidR="00EE521A" w:rsidRPr="002E59D2">
        <w:rPr>
          <w:rFonts w:ascii="Arial" w:hAnsi="Arial" w:cs="Arial"/>
          <w:sz w:val="20"/>
          <w:szCs w:val="20"/>
        </w:rPr>
        <w:t xml:space="preserve"> </w:t>
      </w:r>
      <w:r w:rsidR="000737F6" w:rsidRPr="002E59D2">
        <w:rPr>
          <w:rFonts w:ascii="Arial" w:hAnsi="Arial" w:cs="Arial"/>
          <w:sz w:val="20"/>
          <w:szCs w:val="20"/>
        </w:rPr>
        <w:t>Nadležna g</w:t>
      </w:r>
      <w:r w:rsidR="00EE521A" w:rsidRPr="002E59D2">
        <w:rPr>
          <w:rFonts w:ascii="Arial" w:hAnsi="Arial" w:cs="Arial"/>
          <w:sz w:val="20"/>
          <w:szCs w:val="20"/>
        </w:rPr>
        <w:t>radska upravna tijela izradila su upute za izradu financijskih planova s limitima za proračunske korisnike.</w:t>
      </w:r>
    </w:p>
    <w:p w14:paraId="48E85DD2" w14:textId="77777777" w:rsidR="007300A9" w:rsidRPr="002E59D2" w:rsidRDefault="007300A9" w:rsidP="007300A9">
      <w:pPr>
        <w:pStyle w:val="H2"/>
        <w:numPr>
          <w:ilvl w:val="0"/>
          <w:numId w:val="0"/>
        </w:numPr>
        <w:spacing w:after="0"/>
        <w:ind w:left="567" w:hanging="567"/>
        <w:rPr>
          <w:rFonts w:cs="Arial"/>
          <w:color w:val="auto"/>
          <w:szCs w:val="20"/>
        </w:rPr>
      </w:pPr>
    </w:p>
    <w:p w14:paraId="15642852" w14:textId="78334894" w:rsidR="007300A9" w:rsidRPr="003B3DB5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</w:rPr>
      </w:pPr>
      <w:r w:rsidRPr="002E59D2">
        <w:rPr>
          <w:rFonts w:cs="Arial"/>
          <w:color w:val="auto"/>
          <w:szCs w:val="20"/>
        </w:rPr>
        <w:t>Planiranju proračunskih rashoda i izdataka pristupilo se uvažavajući prioritete zasnovane na zakonskim i podzakonskim obvezama, odlukama Gradske skupštine Grada Zagreba te ranije sklopljenim ugovorima</w:t>
      </w:r>
      <w:r w:rsidR="002E59D2">
        <w:rPr>
          <w:rFonts w:cs="Arial"/>
          <w:color w:val="auto"/>
          <w:szCs w:val="20"/>
        </w:rPr>
        <w:t>.</w:t>
      </w:r>
      <w:r w:rsidRPr="003B3DB5">
        <w:rPr>
          <w:rFonts w:cs="Arial"/>
          <w:color w:val="FF0000"/>
          <w:szCs w:val="20"/>
        </w:rPr>
        <w:t xml:space="preserve"> </w:t>
      </w:r>
    </w:p>
    <w:p w14:paraId="3E6B7BE6" w14:textId="7BB17179" w:rsidR="007300A9" w:rsidRPr="003B3DB5" w:rsidRDefault="007300A9" w:rsidP="007300A9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  <w:lang w:eastAsia="hr-HR"/>
        </w:rPr>
      </w:pPr>
    </w:p>
    <w:p w14:paraId="22FDAEEF" w14:textId="73DA4213" w:rsidR="007300A9" w:rsidRPr="002E59D2" w:rsidRDefault="00EE521A" w:rsidP="003E7485">
      <w:pPr>
        <w:pStyle w:val="H2"/>
        <w:numPr>
          <w:ilvl w:val="0"/>
          <w:numId w:val="0"/>
        </w:numPr>
        <w:spacing w:after="0"/>
        <w:rPr>
          <w:rFonts w:cs="Arial"/>
          <w:color w:val="auto"/>
          <w:szCs w:val="20"/>
          <w:lang w:eastAsia="hr-HR"/>
        </w:rPr>
      </w:pPr>
      <w:r w:rsidRPr="004D7B88">
        <w:rPr>
          <w:rFonts w:cs="Arial"/>
          <w:color w:val="auto"/>
          <w:szCs w:val="20"/>
        </w:rPr>
        <w:t>U proces planiranja proračuna za razdoblje 202</w:t>
      </w:r>
      <w:r w:rsidR="002E59D2" w:rsidRPr="004D7B88">
        <w:rPr>
          <w:rFonts w:cs="Arial"/>
          <w:color w:val="auto"/>
          <w:szCs w:val="20"/>
        </w:rPr>
        <w:t>6. - 2028</w:t>
      </w:r>
      <w:r w:rsidRPr="004D7B88">
        <w:rPr>
          <w:rFonts w:cs="Arial"/>
          <w:color w:val="auto"/>
          <w:szCs w:val="20"/>
        </w:rPr>
        <w:t xml:space="preserve">. uključeno je </w:t>
      </w:r>
      <w:r w:rsidR="00C2576B" w:rsidRPr="004D7B88">
        <w:rPr>
          <w:rFonts w:cs="Arial"/>
          <w:color w:val="auto"/>
          <w:szCs w:val="20"/>
        </w:rPr>
        <w:t>3</w:t>
      </w:r>
      <w:r w:rsidR="002E59D2" w:rsidRPr="004D7B88">
        <w:rPr>
          <w:rFonts w:cs="Arial"/>
          <w:color w:val="auto"/>
          <w:szCs w:val="20"/>
        </w:rPr>
        <w:t>30</w:t>
      </w:r>
      <w:r w:rsidRPr="004D7B88">
        <w:rPr>
          <w:rFonts w:cs="Arial"/>
          <w:color w:val="auto"/>
          <w:szCs w:val="20"/>
        </w:rPr>
        <w:t xml:space="preserve"> proračunskih korisnika, devet </w:t>
      </w:r>
      <w:r w:rsidRPr="002E59D2">
        <w:rPr>
          <w:rFonts w:cs="Arial"/>
          <w:color w:val="auto"/>
          <w:szCs w:val="20"/>
        </w:rPr>
        <w:t xml:space="preserve">vijeća nacionalnih manjina, koordinacija vijeća </w:t>
      </w:r>
      <w:r w:rsidR="0093147E">
        <w:rPr>
          <w:rFonts w:cs="Arial"/>
          <w:color w:val="auto"/>
          <w:szCs w:val="20"/>
        </w:rPr>
        <w:t xml:space="preserve">i predstavnika </w:t>
      </w:r>
      <w:r w:rsidRPr="002E59D2">
        <w:rPr>
          <w:rFonts w:cs="Arial"/>
          <w:color w:val="auto"/>
          <w:szCs w:val="20"/>
        </w:rPr>
        <w:t xml:space="preserve">nacionalnih manjina </w:t>
      </w:r>
      <w:r w:rsidR="0093147E">
        <w:rPr>
          <w:rFonts w:cs="Arial"/>
          <w:color w:val="auto"/>
          <w:szCs w:val="20"/>
        </w:rPr>
        <w:t>te</w:t>
      </w:r>
      <w:r w:rsidRPr="002E59D2">
        <w:rPr>
          <w:rFonts w:cs="Arial"/>
          <w:color w:val="auto"/>
          <w:szCs w:val="20"/>
        </w:rPr>
        <w:t xml:space="preserve"> devet predstavnika nacionalnih manjina koji su dostavili prijedloge svojih financijskih planova nadležnim gradskim upravnim tijelima.</w:t>
      </w:r>
      <w:r w:rsidR="003E7485" w:rsidRPr="002E59D2">
        <w:rPr>
          <w:rFonts w:cs="Arial"/>
          <w:color w:val="auto"/>
          <w:szCs w:val="20"/>
        </w:rPr>
        <w:t xml:space="preserve"> </w:t>
      </w:r>
      <w:r w:rsidR="007300A9" w:rsidRPr="002E59D2">
        <w:rPr>
          <w:rFonts w:cs="Arial"/>
          <w:color w:val="auto"/>
          <w:szCs w:val="20"/>
        </w:rPr>
        <w:t>Financijski planovi proračunskih korisnika</w:t>
      </w:r>
      <w:r w:rsidR="00724A39" w:rsidRPr="002E59D2">
        <w:rPr>
          <w:rFonts w:cs="Arial"/>
          <w:color w:val="auto"/>
          <w:szCs w:val="20"/>
        </w:rPr>
        <w:t>,</w:t>
      </w:r>
      <w:r w:rsidR="007300A9" w:rsidRPr="002E59D2">
        <w:rPr>
          <w:rFonts w:cs="Arial"/>
          <w:color w:val="auto"/>
          <w:szCs w:val="20"/>
        </w:rPr>
        <w:t xml:space="preserve"> osim proračunskih sredstava Grada</w:t>
      </w:r>
      <w:r w:rsidR="00724A39" w:rsidRPr="002E59D2">
        <w:rPr>
          <w:rFonts w:cs="Arial"/>
          <w:color w:val="auto"/>
          <w:szCs w:val="20"/>
        </w:rPr>
        <w:t>,</w:t>
      </w:r>
      <w:r w:rsidR="007300A9" w:rsidRPr="002E59D2">
        <w:rPr>
          <w:rFonts w:cs="Arial"/>
          <w:color w:val="auto"/>
          <w:szCs w:val="20"/>
        </w:rPr>
        <w:t xml:space="preserve"> uključuju </w:t>
      </w:r>
      <w:r w:rsidR="007300A9" w:rsidRPr="002E59D2">
        <w:rPr>
          <w:rFonts w:cs="Arial"/>
          <w:color w:val="auto"/>
          <w:szCs w:val="20"/>
          <w:lang w:eastAsia="hr-HR"/>
        </w:rPr>
        <w:t>vlastite i namjenske prihode i primitke koje korisnici ostvaruju na svojim r</w:t>
      </w:r>
      <w:r w:rsidR="0052307C" w:rsidRPr="002E59D2">
        <w:rPr>
          <w:rFonts w:cs="Arial"/>
          <w:color w:val="auto"/>
          <w:szCs w:val="20"/>
          <w:lang w:eastAsia="hr-HR"/>
        </w:rPr>
        <w:t>ačunima. Odlukom o izvršavanju P</w:t>
      </w:r>
      <w:r w:rsidR="007300A9" w:rsidRPr="002E59D2">
        <w:rPr>
          <w:rFonts w:cs="Arial"/>
          <w:color w:val="auto"/>
          <w:szCs w:val="20"/>
          <w:lang w:eastAsia="hr-HR"/>
        </w:rPr>
        <w:t>roračuna Grada Zagreba za 202</w:t>
      </w:r>
      <w:r w:rsidR="002E59D2" w:rsidRPr="002E59D2">
        <w:rPr>
          <w:rFonts w:cs="Arial"/>
          <w:color w:val="auto"/>
          <w:szCs w:val="20"/>
          <w:lang w:eastAsia="hr-HR"/>
        </w:rPr>
        <w:t>6</w:t>
      </w:r>
      <w:r w:rsidR="007300A9" w:rsidRPr="002E59D2">
        <w:rPr>
          <w:rFonts w:cs="Arial"/>
          <w:color w:val="auto"/>
          <w:szCs w:val="20"/>
          <w:lang w:eastAsia="hr-HR"/>
        </w:rPr>
        <w:t>. propisano je izuzeće od uplate namjenskih prihoda i primitaka te vlastitih pr</w:t>
      </w:r>
      <w:r w:rsidR="00C85B3A" w:rsidRPr="002E59D2">
        <w:rPr>
          <w:rFonts w:cs="Arial"/>
          <w:color w:val="auto"/>
          <w:szCs w:val="20"/>
          <w:lang w:eastAsia="hr-HR"/>
        </w:rPr>
        <w:t>ihoda proračunskih korisnika u P</w:t>
      </w:r>
      <w:r w:rsidR="007300A9" w:rsidRPr="002E59D2">
        <w:rPr>
          <w:rFonts w:cs="Arial"/>
          <w:color w:val="auto"/>
          <w:szCs w:val="20"/>
          <w:lang w:eastAsia="hr-HR"/>
        </w:rPr>
        <w:t xml:space="preserve">roračun Grada Zagreba. </w:t>
      </w:r>
    </w:p>
    <w:p w14:paraId="19086772" w14:textId="7275463F" w:rsidR="00C2576B" w:rsidRPr="003B3DB5" w:rsidRDefault="00C2576B" w:rsidP="003E7485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  <w:lang w:eastAsia="hr-HR"/>
        </w:rPr>
      </w:pPr>
    </w:p>
    <w:p w14:paraId="6EED6D18" w14:textId="77777777" w:rsidR="00C2576B" w:rsidRPr="002E59D2" w:rsidRDefault="00C2576B" w:rsidP="00C2576B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2E59D2">
        <w:rPr>
          <w:rFonts w:ascii="Arial" w:hAnsi="Arial" w:cs="Arial"/>
          <w:sz w:val="20"/>
          <w:szCs w:val="20"/>
          <w:lang w:eastAsia="hr-HR"/>
        </w:rPr>
        <w:t>U Registru proračunskih korisnika Grada Zagreba nalaze se sljedeći korisnici:</w:t>
      </w:r>
    </w:p>
    <w:p w14:paraId="257F35F8" w14:textId="08F9149F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19 javnozdravstvenih ustanova: </w:t>
      </w:r>
      <w:hyperlink r:id="rId8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3 doma zdravlja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>, 7</w:t>
      </w:r>
      <w:hyperlink r:id="rId9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 xml:space="preserve"> poliklinika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0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6 specijalnih bolnica</w:t>
        </w:r>
      </w:hyperlink>
      <w:r w:rsidRPr="002E59D2">
        <w:rPr>
          <w:rFonts w:eastAsia="Times New Roman"/>
        </w:rPr>
        <w:t>,</w:t>
      </w:r>
      <w:hyperlink r:id="rId11" w:tgtFrame="_blank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 zavod za javno zdravstvo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2" w:tgtFrame="_blank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 nastavni zavod za hitnu medicinu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3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 ustanova za zdravstvenu njegu u kući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1C463580" w14:textId="6892DA1A" w:rsidR="00C2576B" w:rsidRPr="004D7B88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D7B88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4D7B88" w:rsidRPr="004D7B88">
        <w:rPr>
          <w:rFonts w:ascii="Arial" w:eastAsia="Times New Roman" w:hAnsi="Arial" w:cs="Arial"/>
          <w:sz w:val="20"/>
          <w:szCs w:val="20"/>
          <w:lang w:eastAsia="hr-HR"/>
        </w:rPr>
        <w:t>0 predškolskih ustanova (dok je jedna u fazi upisa u Registar),</w:t>
      </w:r>
    </w:p>
    <w:p w14:paraId="4C7F3123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116 osnovnoškolskih ustanova: </w:t>
      </w:r>
      <w:hyperlink r:id="rId14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111 redovnih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škola, 2 umjetničke te 3 s posebnim uvjetima obrazovanja (</w:t>
      </w:r>
      <w:hyperlink r:id="rId15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Centar za odgoj i obrazovanje "Goljak"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hyperlink r:id="rId16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Centar za autizam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i Osnovna škola Nad lipom),</w:t>
      </w:r>
    </w:p>
    <w:p w14:paraId="468CEA0D" w14:textId="1725B5E3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66 srednjoškolskih ustanova (</w:t>
      </w:r>
      <w:r w:rsidR="00010B2A" w:rsidRPr="002E59D2">
        <w:rPr>
          <w:rFonts w:ascii="Arial" w:eastAsia="Times New Roman" w:hAnsi="Arial" w:cs="Arial"/>
          <w:sz w:val="20"/>
          <w:szCs w:val="20"/>
          <w:lang w:eastAsia="hr-HR"/>
        </w:rPr>
        <w:t>55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gimnazija i strukovnih škola,</w:t>
      </w:r>
      <w:r w:rsidRPr="002E59D2">
        <w:rPr>
          <w:rFonts w:eastAsia="Times New Roman"/>
        </w:rPr>
        <w:t xml:space="preserve"> </w:t>
      </w:r>
      <w:hyperlink r:id="rId17" w:history="1">
        <w:r w:rsidR="00010B2A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10</w:t>
        </w:r>
      </w:hyperlink>
      <w:r w:rsidR="00010B2A" w:rsidRPr="002E59D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hr-HR"/>
        </w:rPr>
        <w:t xml:space="preserve"> glazbenih i</w:t>
      </w:r>
      <w:r w:rsidR="0077422D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škola</w:t>
      </w:r>
      <w:r w:rsidR="00010B2A" w:rsidRPr="002E59D2">
        <w:rPr>
          <w:rFonts w:ascii="Arial" w:eastAsia="Times New Roman" w:hAnsi="Arial" w:cs="Arial"/>
          <w:sz w:val="20"/>
          <w:szCs w:val="20"/>
          <w:lang w:eastAsia="hr-HR"/>
        </w:rPr>
        <w:t>, 1 škola s posebnim uvjetima obrazovanja – Srednja škola Centar za odgoj i obrazovanje</w:t>
      </w:r>
      <w:r w:rsidR="00275ED9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) i </w:t>
      </w:r>
      <w:hyperlink r:id="rId18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10 učeničkih domova</w:t>
        </w:r>
      </w:hyperlink>
      <w:r w:rsidR="00510296" w:rsidRPr="002E59D2">
        <w:rPr>
          <w:rFonts w:ascii="Arial" w:eastAsia="Times New Roman" w:hAnsi="Arial" w:cs="Arial"/>
          <w:sz w:val="20"/>
          <w:szCs w:val="20"/>
          <w:lang w:eastAsia="hr-HR"/>
        </w:rPr>
        <w:t>;</w:t>
      </w:r>
    </w:p>
    <w:p w14:paraId="26FBC280" w14:textId="77777777" w:rsidR="00C2576B" w:rsidRPr="002E59D2" w:rsidRDefault="00032AC2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hyperlink r:id="rId19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 xml:space="preserve">35 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>ustanova u kulturi: 1 knjižnica</w:t>
      </w:r>
      <w:hyperlink r:id="rId20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 12 centara za kulturu</w:t>
        </w:r>
      </w:hyperlink>
      <w:hyperlink r:id="rId21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 3 glazbene ustanove</w:t>
        </w:r>
      </w:hyperlink>
      <w:hyperlink r:id="rId22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7 kazališta,</w:t>
      </w:r>
      <w:hyperlink r:id="rId23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 xml:space="preserve"> 1 likovna ustanov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>a</w:t>
      </w:r>
      <w:hyperlink r:id="rId24" w:history="1">
        <w:r w:rsidR="00C2576B"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, 9 muzeja</w:t>
        </w:r>
      </w:hyperlink>
      <w:r w:rsidR="00C2576B"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filmska ustanova i Pogon – Zagrebački centar za nezavisnu kulturu i mlade, </w:t>
      </w:r>
    </w:p>
    <w:p w14:paraId="236170CF" w14:textId="58A061C4" w:rsidR="00C2576B" w:rsidRPr="002E59D2" w:rsidRDefault="00C2576B" w:rsidP="0066349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16 ustanova socijalne skrbi: </w:t>
      </w:r>
      <w:hyperlink r:id="rId25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10 domova za starije osobe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, Duga dom za djecu i odrasle - žrtve obiteljskog nasilja, </w:t>
      </w:r>
      <w:hyperlink r:id="rId26" w:tgtFrame="_blank" w:history="1">
        <w:r w:rsidRPr="002E59D2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  <w:lang w:eastAsia="hr-HR"/>
          </w:rPr>
          <w:t>Ustanova</w:t>
        </w:r>
      </w:hyperlink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Dobri dom Grada Zagreba,</w:t>
      </w:r>
      <w:r w:rsidR="00944BA0" w:rsidRPr="002E59D2">
        <w:rPr>
          <w:rFonts w:ascii="Arial" w:hAnsi="Arial" w:cs="Arial"/>
          <w:sz w:val="18"/>
          <w:szCs w:val="18"/>
          <w:shd w:val="clear" w:color="auto" w:fill="F8F8F8"/>
        </w:rPr>
        <w:t xml:space="preserve"> </w:t>
      </w:r>
      <w:r w:rsidR="00944BA0" w:rsidRPr="002E59D2">
        <w:rPr>
          <w:rFonts w:ascii="Arial" w:eastAsia="Times New Roman" w:hAnsi="Arial" w:cs="Arial"/>
          <w:sz w:val="20"/>
          <w:szCs w:val="20"/>
          <w:lang w:eastAsia="hr-HR"/>
        </w:rPr>
        <w:t>Centar za pružanje usluga u zajednici Mali dom,</w:t>
      </w: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 Centar za pružanje usluga u zajednici Savjetovalište Luka Ritz, Centar za rehabilitaciju Silver, Centar za pružanje usluga u zajednici Zagrebač</w:t>
      </w:r>
      <w:r w:rsidR="0077422D" w:rsidRPr="002E59D2">
        <w:rPr>
          <w:rFonts w:ascii="Arial" w:eastAsia="Times New Roman" w:hAnsi="Arial" w:cs="Arial"/>
          <w:sz w:val="20"/>
          <w:szCs w:val="20"/>
          <w:lang w:eastAsia="hr-HR"/>
        </w:rPr>
        <w:t>ki centar za neovisno življenje,</w:t>
      </w:r>
    </w:p>
    <w:p w14:paraId="6C31738A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 xml:space="preserve">Javna vatrogasna postrojba Grada Zagreba, </w:t>
      </w:r>
    </w:p>
    <w:p w14:paraId="402A53C4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Zavod za prostorno uređenje Grada Zagreba,</w:t>
      </w:r>
    </w:p>
    <w:p w14:paraId="32DC6FEE" w14:textId="0D4A6F41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Javna ustanova za upravljanj</w:t>
      </w:r>
      <w:r w:rsidR="0077422D" w:rsidRPr="002E59D2">
        <w:rPr>
          <w:rFonts w:ascii="Arial" w:eastAsia="Times New Roman" w:hAnsi="Arial" w:cs="Arial"/>
          <w:sz w:val="20"/>
          <w:szCs w:val="20"/>
          <w:lang w:eastAsia="hr-HR"/>
        </w:rPr>
        <w:t>e prirodnim vrijednostima grada (Priroda Grada Zagreba)</w:t>
      </w:r>
    </w:p>
    <w:p w14:paraId="4DBEBC40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Ustanova Zoološki vrt Grada Zagreba,</w:t>
      </w:r>
    </w:p>
    <w:p w14:paraId="2948C555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Upravljanje sportskim objektima,</w:t>
      </w:r>
    </w:p>
    <w:p w14:paraId="67C71ECD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Ustanova za sveobuhvatnu skrb Tigrovi,</w:t>
      </w:r>
    </w:p>
    <w:p w14:paraId="5CF57EE7" w14:textId="77777777" w:rsidR="00C2576B" w:rsidRPr="002E59D2" w:rsidRDefault="00C2576B" w:rsidP="00663492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E59D2">
        <w:rPr>
          <w:rFonts w:ascii="Arial" w:eastAsia="Times New Roman" w:hAnsi="Arial" w:cs="Arial"/>
          <w:sz w:val="20"/>
          <w:szCs w:val="20"/>
          <w:lang w:eastAsia="hr-HR"/>
        </w:rPr>
        <w:t>Razvojna agencija Zagreb za koordinaciju i poticanje regionalnog razvoja.</w:t>
      </w:r>
    </w:p>
    <w:p w14:paraId="1814C3D1" w14:textId="77777777" w:rsidR="00C2576B" w:rsidRPr="003B3DB5" w:rsidRDefault="00C2576B" w:rsidP="003E7485">
      <w:pPr>
        <w:pStyle w:val="H2"/>
        <w:numPr>
          <w:ilvl w:val="0"/>
          <w:numId w:val="0"/>
        </w:numPr>
        <w:spacing w:after="0"/>
        <w:rPr>
          <w:rFonts w:cs="Arial"/>
          <w:color w:val="FF0000"/>
          <w:szCs w:val="20"/>
          <w:lang w:eastAsia="hr-HR"/>
        </w:rPr>
      </w:pPr>
    </w:p>
    <w:p w14:paraId="20327328" w14:textId="4FD62760" w:rsidR="007300A9" w:rsidRPr="00EE73E6" w:rsidRDefault="007300A9" w:rsidP="003D4C3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73E6">
        <w:rPr>
          <w:rFonts w:ascii="Arial" w:hAnsi="Arial" w:cs="Arial"/>
          <w:bCs/>
          <w:sz w:val="20"/>
          <w:szCs w:val="20"/>
        </w:rPr>
        <w:t>Osim prihoda koje proračunski korisnici Grada ostvaruju iz gradskog proračuna, vlastiti i namjenski prihodi (prihodi za posebne namjene) svih proračunskih korisnika Grada Zagreba koje planiraju ostvariti u razdoblju od 202</w:t>
      </w:r>
      <w:r w:rsidR="00EE73E6" w:rsidRPr="00EE73E6">
        <w:rPr>
          <w:rFonts w:ascii="Arial" w:hAnsi="Arial" w:cs="Arial"/>
          <w:bCs/>
          <w:sz w:val="20"/>
          <w:szCs w:val="20"/>
        </w:rPr>
        <w:t>6</w:t>
      </w:r>
      <w:r w:rsidRPr="00EE73E6">
        <w:rPr>
          <w:rFonts w:ascii="Arial" w:hAnsi="Arial" w:cs="Arial"/>
          <w:bCs/>
          <w:sz w:val="20"/>
          <w:szCs w:val="20"/>
        </w:rPr>
        <w:t>. - 202</w:t>
      </w:r>
      <w:r w:rsidR="00EE73E6" w:rsidRPr="00EE73E6">
        <w:rPr>
          <w:rFonts w:ascii="Arial" w:hAnsi="Arial" w:cs="Arial"/>
          <w:bCs/>
          <w:sz w:val="20"/>
          <w:szCs w:val="20"/>
        </w:rPr>
        <w:t>8</w:t>
      </w:r>
      <w:r w:rsidRPr="00EE73E6">
        <w:rPr>
          <w:rFonts w:ascii="Arial" w:hAnsi="Arial" w:cs="Arial"/>
          <w:bCs/>
          <w:sz w:val="20"/>
          <w:szCs w:val="20"/>
        </w:rPr>
        <w:t>. također se iskazuju u Proračunu Grada Zagreba za 202</w:t>
      </w:r>
      <w:r w:rsidR="00EE73E6" w:rsidRPr="00EE73E6">
        <w:rPr>
          <w:rFonts w:ascii="Arial" w:hAnsi="Arial" w:cs="Arial"/>
          <w:bCs/>
          <w:sz w:val="20"/>
          <w:szCs w:val="20"/>
        </w:rPr>
        <w:t>6</w:t>
      </w:r>
      <w:r w:rsidRPr="00EE73E6">
        <w:rPr>
          <w:rFonts w:ascii="Arial" w:hAnsi="Arial" w:cs="Arial"/>
          <w:bCs/>
          <w:sz w:val="20"/>
          <w:szCs w:val="20"/>
        </w:rPr>
        <w:t xml:space="preserve">. i </w:t>
      </w:r>
      <w:r w:rsidR="00635CEF" w:rsidRPr="00EE73E6">
        <w:rPr>
          <w:rFonts w:ascii="Arial" w:hAnsi="Arial" w:cs="Arial"/>
          <w:bCs/>
          <w:sz w:val="20"/>
          <w:szCs w:val="20"/>
        </w:rPr>
        <w:t>projekciji</w:t>
      </w:r>
      <w:r w:rsidRPr="00EE73E6">
        <w:rPr>
          <w:rFonts w:ascii="Arial" w:hAnsi="Arial" w:cs="Arial"/>
          <w:bCs/>
          <w:sz w:val="20"/>
          <w:szCs w:val="20"/>
        </w:rPr>
        <w:t xml:space="preserve"> za 202</w:t>
      </w:r>
      <w:r w:rsidR="00EE73E6" w:rsidRPr="00EE73E6">
        <w:rPr>
          <w:rFonts w:ascii="Arial" w:hAnsi="Arial" w:cs="Arial"/>
          <w:bCs/>
          <w:sz w:val="20"/>
          <w:szCs w:val="20"/>
        </w:rPr>
        <w:t>7</w:t>
      </w:r>
      <w:r w:rsidR="00635CEF" w:rsidRPr="00EE73E6">
        <w:rPr>
          <w:rFonts w:ascii="Arial" w:hAnsi="Arial" w:cs="Arial"/>
          <w:bCs/>
          <w:sz w:val="20"/>
          <w:szCs w:val="20"/>
        </w:rPr>
        <w:t>. i</w:t>
      </w:r>
      <w:r w:rsidRPr="00EE73E6">
        <w:rPr>
          <w:rFonts w:ascii="Arial" w:hAnsi="Arial" w:cs="Arial"/>
          <w:bCs/>
          <w:sz w:val="20"/>
          <w:szCs w:val="20"/>
        </w:rPr>
        <w:t xml:space="preserve"> 202</w:t>
      </w:r>
      <w:r w:rsidR="00EE73E6" w:rsidRPr="00EE73E6">
        <w:rPr>
          <w:rFonts w:ascii="Arial" w:hAnsi="Arial" w:cs="Arial"/>
          <w:bCs/>
          <w:sz w:val="20"/>
          <w:szCs w:val="20"/>
        </w:rPr>
        <w:t>8</w:t>
      </w:r>
      <w:r w:rsidRPr="00EE73E6">
        <w:rPr>
          <w:rFonts w:ascii="Arial" w:hAnsi="Arial" w:cs="Arial"/>
          <w:bCs/>
          <w:sz w:val="20"/>
          <w:szCs w:val="20"/>
        </w:rPr>
        <w:t xml:space="preserve">., kao i rashodi koji će se financirati iz tih prihoda. Namjenski i vlastiti prihodi svih </w:t>
      </w:r>
      <w:r w:rsidRPr="00EE73E6">
        <w:rPr>
          <w:rFonts w:ascii="Arial" w:hAnsi="Arial" w:cs="Arial"/>
          <w:bCs/>
          <w:sz w:val="20"/>
          <w:szCs w:val="20"/>
        </w:rPr>
        <w:lastRenderedPageBreak/>
        <w:t>proračunskih korisnika dio su proračuna Grada, ali ne i novčanog tijeka. Korisnici</w:t>
      </w:r>
      <w:r w:rsidR="001E49CB">
        <w:rPr>
          <w:rFonts w:ascii="Arial" w:hAnsi="Arial" w:cs="Arial"/>
          <w:bCs/>
          <w:sz w:val="20"/>
          <w:szCs w:val="20"/>
        </w:rPr>
        <w:t>, sukladno Odluci o izvršavanju Proračuna Grada Zagreba za 2026.,</w:t>
      </w:r>
      <w:r w:rsidRPr="00EE73E6">
        <w:rPr>
          <w:rFonts w:ascii="Arial" w:hAnsi="Arial" w:cs="Arial"/>
          <w:bCs/>
          <w:sz w:val="20"/>
          <w:szCs w:val="20"/>
        </w:rPr>
        <w:t xml:space="preserve"> i nadalje na svojim računima ostvaruju te prihode, sa svojih računa podmiruju obveze/rashode koji se iz njih financiraju te su obvezni izvještavati o njihovu korištenju.</w:t>
      </w:r>
    </w:p>
    <w:p w14:paraId="4A78805A" w14:textId="54FB6028" w:rsidR="007300A9" w:rsidRDefault="007300A9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E73E6">
        <w:rPr>
          <w:rFonts w:ascii="Arial" w:hAnsi="Arial" w:cs="Arial"/>
          <w:bCs/>
          <w:sz w:val="20"/>
          <w:szCs w:val="20"/>
        </w:rPr>
        <w:t>U pla</w:t>
      </w:r>
      <w:r w:rsidR="006A20EC" w:rsidRPr="00EE73E6">
        <w:rPr>
          <w:rFonts w:ascii="Arial" w:hAnsi="Arial" w:cs="Arial"/>
          <w:bCs/>
          <w:sz w:val="20"/>
          <w:szCs w:val="20"/>
        </w:rPr>
        <w:t>n proračuna uključena su sredst</w:t>
      </w:r>
      <w:r w:rsidRPr="00EE73E6">
        <w:rPr>
          <w:rFonts w:ascii="Arial" w:hAnsi="Arial" w:cs="Arial"/>
          <w:bCs/>
          <w:sz w:val="20"/>
          <w:szCs w:val="20"/>
        </w:rPr>
        <w:t>va za bruto plaće, doprinose i ostale rashode za zaposlenike</w:t>
      </w:r>
      <w:r w:rsidR="006A20EC" w:rsidRPr="00EE73E6">
        <w:rPr>
          <w:rFonts w:ascii="Arial" w:hAnsi="Arial" w:cs="Arial"/>
          <w:bCs/>
          <w:sz w:val="20"/>
          <w:szCs w:val="20"/>
        </w:rPr>
        <w:t xml:space="preserve"> osnovnih i srednjih škola te</w:t>
      </w:r>
      <w:r w:rsidRPr="00EE73E6">
        <w:rPr>
          <w:rFonts w:ascii="Arial" w:hAnsi="Arial" w:cs="Arial"/>
          <w:bCs/>
          <w:sz w:val="20"/>
          <w:szCs w:val="20"/>
        </w:rPr>
        <w:t xml:space="preserve"> većine zdravstvenih ustanova, a koja se osiguravaju u Državnom proračunu. Na prihodnoj strani su ova sredstva iskazana na stavci Pomoći proračunskim korisnicima iz proračuna koji im nije nadležan te na stavci Prihodi od HZZO-a na temelju ugovornih obveza.</w:t>
      </w:r>
    </w:p>
    <w:p w14:paraId="4AA4D1B2" w14:textId="300D7A79" w:rsidR="002711A7" w:rsidRDefault="002711A7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5E2F972" w14:textId="76473348" w:rsidR="00CC2911" w:rsidRPr="006016C5" w:rsidRDefault="002711A7" w:rsidP="00D57B1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16C5">
        <w:rPr>
          <w:rFonts w:ascii="Arial" w:hAnsi="Arial" w:cs="Arial"/>
          <w:bCs/>
          <w:sz w:val="20"/>
          <w:szCs w:val="20"/>
        </w:rPr>
        <w:t>Prijedlogom Proračuna za 2026. i projekcija za 2027. i 2028. uvažen</w:t>
      </w:r>
      <w:r w:rsidR="002B77DB" w:rsidRPr="006016C5">
        <w:rPr>
          <w:rFonts w:ascii="Arial" w:hAnsi="Arial" w:cs="Arial"/>
          <w:bCs/>
          <w:sz w:val="20"/>
          <w:szCs w:val="20"/>
        </w:rPr>
        <w:t>e su izmjene i dopune</w:t>
      </w:r>
      <w:r w:rsidRPr="006016C5">
        <w:rPr>
          <w:rFonts w:ascii="Arial" w:hAnsi="Arial" w:cs="Arial"/>
          <w:bCs/>
          <w:sz w:val="20"/>
          <w:szCs w:val="20"/>
        </w:rPr>
        <w:t xml:space="preserve"> Odluk</w:t>
      </w:r>
      <w:r w:rsidR="002B77DB" w:rsidRPr="006016C5">
        <w:rPr>
          <w:rFonts w:ascii="Arial" w:hAnsi="Arial" w:cs="Arial"/>
          <w:bCs/>
          <w:sz w:val="20"/>
          <w:szCs w:val="20"/>
        </w:rPr>
        <w:t>e</w:t>
      </w:r>
      <w:r w:rsidRPr="006016C5">
        <w:rPr>
          <w:rFonts w:ascii="Arial" w:hAnsi="Arial" w:cs="Arial"/>
          <w:bCs/>
          <w:sz w:val="20"/>
          <w:szCs w:val="20"/>
        </w:rPr>
        <w:t xml:space="preserve"> o ustrojstvu i djelokrugu gradskih upravnih tijela</w:t>
      </w:r>
      <w:r w:rsidR="002B77DB" w:rsidRPr="006016C5">
        <w:rPr>
          <w:rFonts w:ascii="Arial" w:hAnsi="Arial" w:cs="Arial"/>
          <w:bCs/>
          <w:sz w:val="20"/>
          <w:szCs w:val="20"/>
        </w:rPr>
        <w:t xml:space="preserve"> kojima je Ured gradonačelnika preuzeo poslove </w:t>
      </w:r>
      <w:r w:rsidR="00D57B1F" w:rsidRPr="006016C5">
        <w:rPr>
          <w:rFonts w:ascii="Arial" w:hAnsi="Arial" w:cs="Arial"/>
          <w:bCs/>
          <w:sz w:val="20"/>
          <w:szCs w:val="20"/>
        </w:rPr>
        <w:t>Gradskog ureda za obnovu, izgradnju, prostorno uređenje, graditeljstvo i komunalne poslove što se odnose na korištenje površina javne namjene i poslove vezane uz uređenje naselja te kojima je Gradski ured za mjesnu samoupravu, promet, komunalne poslove, civilnu zaštitu i sigurnost preuzeo poslove Gradskog ureda za obnovu, izgradnju, prostorno uređenje, graditeljstvo i komunalne poslove što se odnose na izgradnju, održavanje i evidentiranje komunalne infrastrukture, komunalne poslove (osim poslove vezane uz uređenje naselja), poslove komunalnih redara (komunalno redarstvo), poslove prometnih redara (prometno redarstvo), spomeničku rentu, ceste, žičare i poslove prijevoza pokojnika koji se financiraju iz proračuna.</w:t>
      </w:r>
    </w:p>
    <w:p w14:paraId="24874572" w14:textId="77777777" w:rsidR="00D57B1F" w:rsidRPr="003B3DB5" w:rsidRDefault="00D57B1F" w:rsidP="00D57B1F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6B6466D9" w14:textId="64C5FC12" w:rsidR="00CC2911" w:rsidRPr="000C070D" w:rsidRDefault="00CC2911" w:rsidP="003D4C3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C070D">
        <w:rPr>
          <w:rFonts w:ascii="Arial" w:hAnsi="Arial" w:cs="Arial"/>
          <w:bCs/>
          <w:sz w:val="20"/>
          <w:szCs w:val="20"/>
        </w:rPr>
        <w:t>Pr</w:t>
      </w:r>
      <w:r w:rsidR="006A20EC" w:rsidRPr="000C070D">
        <w:rPr>
          <w:rFonts w:ascii="Arial" w:hAnsi="Arial" w:cs="Arial"/>
          <w:bCs/>
          <w:sz w:val="20"/>
          <w:szCs w:val="20"/>
        </w:rPr>
        <w:t>oračun Grada Zagreba za 202</w:t>
      </w:r>
      <w:r w:rsidR="00EE73E6" w:rsidRPr="000C070D">
        <w:rPr>
          <w:rFonts w:ascii="Arial" w:hAnsi="Arial" w:cs="Arial"/>
          <w:bCs/>
          <w:sz w:val="20"/>
          <w:szCs w:val="20"/>
        </w:rPr>
        <w:t>6</w:t>
      </w:r>
      <w:r w:rsidR="00E565D9" w:rsidRPr="000C070D">
        <w:rPr>
          <w:rFonts w:ascii="Arial" w:hAnsi="Arial" w:cs="Arial"/>
          <w:bCs/>
          <w:sz w:val="20"/>
          <w:szCs w:val="20"/>
        </w:rPr>
        <w:t xml:space="preserve">. </w:t>
      </w:r>
      <w:r w:rsidRPr="000C070D">
        <w:rPr>
          <w:rFonts w:ascii="Arial" w:hAnsi="Arial" w:cs="Arial"/>
          <w:bCs/>
          <w:sz w:val="20"/>
          <w:szCs w:val="20"/>
        </w:rPr>
        <w:t>u konačnici</w:t>
      </w:r>
      <w:r w:rsidR="006A20EC" w:rsidRPr="000C070D">
        <w:rPr>
          <w:rFonts w:ascii="Arial" w:hAnsi="Arial" w:cs="Arial"/>
          <w:bCs/>
          <w:sz w:val="20"/>
          <w:szCs w:val="20"/>
        </w:rPr>
        <w:t xml:space="preserve"> je</w:t>
      </w:r>
      <w:r w:rsidRPr="000C070D">
        <w:rPr>
          <w:rFonts w:ascii="Arial" w:hAnsi="Arial" w:cs="Arial"/>
          <w:bCs/>
          <w:sz w:val="20"/>
          <w:szCs w:val="20"/>
        </w:rPr>
        <w:t xml:space="preserve"> utvrđen u visini od </w:t>
      </w:r>
      <w:r w:rsidR="000C070D" w:rsidRPr="000C070D">
        <w:rPr>
          <w:rFonts w:ascii="Arial" w:hAnsi="Arial" w:cs="Arial"/>
          <w:bCs/>
          <w:sz w:val="20"/>
          <w:szCs w:val="20"/>
        </w:rPr>
        <w:t xml:space="preserve">3.154.953.380 </w:t>
      </w:r>
      <w:r w:rsidRPr="000C070D">
        <w:rPr>
          <w:rFonts w:ascii="Arial" w:hAnsi="Arial" w:cs="Arial"/>
          <w:bCs/>
          <w:sz w:val="20"/>
          <w:szCs w:val="20"/>
        </w:rPr>
        <w:t xml:space="preserve">eura od čega </w:t>
      </w:r>
      <w:r w:rsidR="000C070D" w:rsidRPr="000C070D">
        <w:rPr>
          <w:rFonts w:ascii="Arial" w:hAnsi="Arial" w:cs="Arial"/>
          <w:bCs/>
          <w:sz w:val="20"/>
          <w:szCs w:val="20"/>
        </w:rPr>
        <w:t xml:space="preserve">se na Grad u užem smislu odnosi 2.282.978.350 </w:t>
      </w:r>
      <w:r w:rsidR="00902F6C" w:rsidRPr="000C070D">
        <w:rPr>
          <w:rFonts w:ascii="Arial" w:hAnsi="Arial" w:cs="Arial"/>
          <w:bCs/>
          <w:sz w:val="20"/>
          <w:szCs w:val="20"/>
        </w:rPr>
        <w:t xml:space="preserve">eura, a </w:t>
      </w:r>
      <w:r w:rsidR="000C070D" w:rsidRPr="000C070D">
        <w:rPr>
          <w:rFonts w:ascii="Arial" w:hAnsi="Arial" w:cs="Arial"/>
          <w:bCs/>
          <w:sz w:val="20"/>
          <w:szCs w:val="20"/>
        </w:rPr>
        <w:t xml:space="preserve">871.975.030 </w:t>
      </w:r>
      <w:r w:rsidR="00902F6C" w:rsidRPr="000C070D">
        <w:rPr>
          <w:rFonts w:ascii="Arial" w:hAnsi="Arial" w:cs="Arial"/>
          <w:bCs/>
          <w:sz w:val="20"/>
          <w:szCs w:val="20"/>
        </w:rPr>
        <w:t xml:space="preserve">eura na proračunske korisnike. </w:t>
      </w:r>
      <w:r w:rsidR="00EB7BC7" w:rsidRPr="000C070D">
        <w:rPr>
          <w:rFonts w:ascii="Arial" w:hAnsi="Arial" w:cs="Arial"/>
          <w:bCs/>
          <w:sz w:val="20"/>
          <w:szCs w:val="20"/>
        </w:rPr>
        <w:t xml:space="preserve">U odnosu na </w:t>
      </w:r>
      <w:r w:rsidR="00CF2DCC" w:rsidRPr="000C070D">
        <w:rPr>
          <w:rFonts w:ascii="Arial" w:hAnsi="Arial" w:cs="Arial"/>
          <w:bCs/>
          <w:sz w:val="20"/>
          <w:szCs w:val="20"/>
        </w:rPr>
        <w:t>tekući plan</w:t>
      </w:r>
      <w:r w:rsidR="00691A1D" w:rsidRPr="000C070D">
        <w:rPr>
          <w:rFonts w:ascii="Arial" w:hAnsi="Arial" w:cs="Arial"/>
          <w:bCs/>
          <w:sz w:val="20"/>
          <w:szCs w:val="20"/>
        </w:rPr>
        <w:t xml:space="preserve"> za 202</w:t>
      </w:r>
      <w:r w:rsidR="000C070D" w:rsidRPr="000C070D">
        <w:rPr>
          <w:rFonts w:ascii="Arial" w:hAnsi="Arial" w:cs="Arial"/>
          <w:bCs/>
          <w:sz w:val="20"/>
          <w:szCs w:val="20"/>
        </w:rPr>
        <w:t>5</w:t>
      </w:r>
      <w:r w:rsidR="00691A1D" w:rsidRPr="000C070D">
        <w:rPr>
          <w:rFonts w:ascii="Arial" w:hAnsi="Arial" w:cs="Arial"/>
          <w:bCs/>
          <w:sz w:val="20"/>
          <w:szCs w:val="20"/>
        </w:rPr>
        <w:t>.</w:t>
      </w:r>
      <w:r w:rsidR="00CF2DCC" w:rsidRPr="000C070D">
        <w:rPr>
          <w:rFonts w:ascii="Arial" w:hAnsi="Arial" w:cs="Arial"/>
          <w:bCs/>
          <w:sz w:val="20"/>
          <w:szCs w:val="20"/>
        </w:rPr>
        <w:t xml:space="preserve"> </w:t>
      </w:r>
      <w:r w:rsidR="000C070D" w:rsidRPr="000C070D">
        <w:rPr>
          <w:rFonts w:ascii="Arial" w:hAnsi="Arial" w:cs="Arial"/>
          <w:bCs/>
          <w:sz w:val="20"/>
          <w:szCs w:val="20"/>
        </w:rPr>
        <w:t>Proračun za 2026</w:t>
      </w:r>
      <w:r w:rsidR="00C93797" w:rsidRPr="000C070D">
        <w:rPr>
          <w:rFonts w:ascii="Arial" w:hAnsi="Arial" w:cs="Arial"/>
          <w:bCs/>
          <w:sz w:val="20"/>
          <w:szCs w:val="20"/>
        </w:rPr>
        <w:t xml:space="preserve">. raste za </w:t>
      </w:r>
      <w:r w:rsidR="000C070D" w:rsidRPr="000C070D">
        <w:rPr>
          <w:rFonts w:ascii="Arial" w:hAnsi="Arial" w:cs="Arial"/>
          <w:bCs/>
          <w:sz w:val="20"/>
          <w:szCs w:val="20"/>
        </w:rPr>
        <w:t>2,1</w:t>
      </w:r>
      <w:r w:rsidR="004D7B88">
        <w:rPr>
          <w:rFonts w:ascii="Arial" w:hAnsi="Arial" w:cs="Arial"/>
          <w:bCs/>
          <w:sz w:val="20"/>
          <w:szCs w:val="20"/>
        </w:rPr>
        <w:t xml:space="preserve"> </w:t>
      </w:r>
      <w:r w:rsidR="00CF2DCC" w:rsidRPr="000C070D">
        <w:rPr>
          <w:rFonts w:ascii="Arial" w:hAnsi="Arial" w:cs="Arial"/>
          <w:bCs/>
          <w:sz w:val="20"/>
          <w:szCs w:val="20"/>
        </w:rPr>
        <w:t>%</w:t>
      </w:r>
      <w:r w:rsidR="00EB7BC7" w:rsidRPr="000C070D">
        <w:rPr>
          <w:rFonts w:ascii="Arial" w:hAnsi="Arial" w:cs="Arial"/>
          <w:bCs/>
          <w:sz w:val="20"/>
          <w:szCs w:val="20"/>
        </w:rPr>
        <w:t xml:space="preserve">. </w:t>
      </w:r>
    </w:p>
    <w:p w14:paraId="358F1337" w14:textId="77777777" w:rsidR="00EA2909" w:rsidRPr="000C070D" w:rsidRDefault="00EA2909" w:rsidP="00540451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8050DD" w14:textId="47F1941D" w:rsidR="00CD7D59" w:rsidRDefault="006A20EC" w:rsidP="00540451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Tablični 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>pregled Prijedloga proračuna Grada Zagreba za razdoblje 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0488F" w:rsidRPr="00724BB6">
        <w:rPr>
          <w:rFonts w:ascii="Arial" w:eastAsia="Times New Roman" w:hAnsi="Arial" w:cs="Arial"/>
          <w:sz w:val="20"/>
          <w:szCs w:val="20"/>
          <w:lang w:eastAsia="hr-HR"/>
        </w:rPr>
        <w:t>- 202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80488F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s usporedbom </w:t>
      </w:r>
      <w:r w:rsidR="00EB4E6D" w:rsidRPr="00724BB6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EB4E6D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540451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F7380" w:rsidRPr="00724BB6">
        <w:rPr>
          <w:rFonts w:ascii="Arial" w:eastAsia="Times New Roman" w:hAnsi="Arial" w:cs="Arial"/>
          <w:sz w:val="20"/>
          <w:szCs w:val="20"/>
          <w:lang w:eastAsia="hr-HR"/>
        </w:rPr>
        <w:t>te izvršenjem 202</w:t>
      </w:r>
      <w:r w:rsidR="00724BB6" w:rsidRPr="00724BB6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4F7380" w:rsidRP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EB4E6D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>daje se u nastavku</w:t>
      </w:r>
      <w:r w:rsidR="00724BB6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F7380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D000B" w:rsidRPr="00724BB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FA00E23" w14:textId="6692A313" w:rsidR="00317A89" w:rsidRDefault="00384395" w:rsidP="001E49CB">
      <w:pPr>
        <w:spacing w:after="160" w:line="259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84395">
        <w:rPr>
          <w:noProof/>
          <w:lang w:eastAsia="hr-HR"/>
        </w:rPr>
        <w:drawing>
          <wp:inline distT="0" distB="0" distL="0" distR="0" wp14:anchorId="38D0AB95" wp14:editId="69F168E0">
            <wp:extent cx="5614670" cy="4012442"/>
            <wp:effectExtent l="0" t="0" r="508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061" cy="402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8C30" w14:textId="77777777" w:rsidR="00317A89" w:rsidRDefault="00317A89" w:rsidP="00540451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ED2D09" w14:textId="444CC5FE" w:rsidR="00724BB6" w:rsidRPr="00724BB6" w:rsidRDefault="00391094" w:rsidP="001E49CB">
      <w:pPr>
        <w:spacing w:after="160" w:line="259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391094">
        <w:rPr>
          <w:noProof/>
          <w:lang w:eastAsia="hr-HR"/>
        </w:rPr>
        <w:lastRenderedPageBreak/>
        <w:drawing>
          <wp:inline distT="0" distB="0" distL="0" distR="0" wp14:anchorId="3CD67554" wp14:editId="7006A8F1">
            <wp:extent cx="5760245" cy="423080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629" cy="42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B646" w14:textId="74A5CF25" w:rsidR="004F7380" w:rsidRPr="003B3DB5" w:rsidRDefault="004F7380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</w:p>
    <w:p w14:paraId="11D5C63D" w14:textId="77777777" w:rsidR="00F303AE" w:rsidRDefault="00F303AE" w:rsidP="00F201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5E3C74F" w14:textId="736C03AC" w:rsidR="00F20167" w:rsidRPr="00A91D9F" w:rsidRDefault="00D300E1" w:rsidP="00F201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Kr</w:t>
      </w:r>
      <w:r w:rsidR="006A20EC" w:rsidRPr="00A91D9F">
        <w:rPr>
          <w:rFonts w:ascii="Arial" w:eastAsia="Times New Roman" w:hAnsi="Arial" w:cs="Arial"/>
          <w:sz w:val="20"/>
          <w:szCs w:val="20"/>
          <w:lang w:eastAsia="hr-HR"/>
        </w:rPr>
        <w:t>oz prijedlog Proračuna za 202</w:t>
      </w:r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6A20EC" w:rsidRPr="00A91D9F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vidljivo </w:t>
      </w:r>
      <w:r w:rsidR="006A20EC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>zadržavanje postojeć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BE2B8E">
        <w:rPr>
          <w:rFonts w:ascii="Arial" w:eastAsia="Times New Roman" w:hAnsi="Arial" w:cs="Arial"/>
          <w:sz w:val="20"/>
          <w:szCs w:val="20"/>
          <w:lang w:eastAsia="hr-HR"/>
        </w:rPr>
        <w:t xml:space="preserve"> visok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e razine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kapitalnih ulaganja 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>koja Grad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uz vlastita sredstva i sredstva iz EU izvora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planira </w:t>
      </w:r>
      <w:r w:rsidR="00F20167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sufinancirati </w:t>
      </w:r>
      <w:r w:rsidR="001B05F6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i </w:t>
      </w:r>
      <w:r w:rsidR="00F20167" w:rsidRPr="00A91D9F">
        <w:rPr>
          <w:rFonts w:ascii="Arial" w:eastAsia="Times New Roman" w:hAnsi="Arial" w:cs="Arial"/>
          <w:sz w:val="20"/>
          <w:szCs w:val="20"/>
          <w:lang w:eastAsia="hr-HR"/>
        </w:rPr>
        <w:t>iz okvirnog zajma Europske investicijske banke</w:t>
      </w:r>
      <w:r w:rsidR="00BE2B8E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F20167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6F699574" w14:textId="40976E70" w:rsidR="00A91D9F" w:rsidRPr="00A91D9F" w:rsidRDefault="00A91D9F" w:rsidP="00F201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1E2E0B" w14:textId="341F7A71" w:rsidR="00A91D9F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Na kapitalna ulaganja se kroz Program radova kapitalnih ulaganja u objekte za društvene djelatnosti i u obnovu objekata oštećenih potresom u Gradu Zag</w:t>
      </w:r>
      <w:r w:rsidR="00D05B26">
        <w:rPr>
          <w:rFonts w:ascii="Arial" w:eastAsia="Times New Roman" w:hAnsi="Arial" w:cs="Arial"/>
          <w:sz w:val="20"/>
          <w:szCs w:val="20"/>
          <w:lang w:eastAsia="hr-HR"/>
        </w:rPr>
        <w:t>rebu planira utrošiti ukupno 324.040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>.500 eura. Najznačajniji projekti u izgradnji za koje su planirana sredstva u 2026. obuhvaćaju:</w:t>
      </w:r>
    </w:p>
    <w:p w14:paraId="5BDAC95E" w14:textId="77777777" w:rsidR="00F303AE" w:rsidRPr="00A91D9F" w:rsidRDefault="00F303AE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7DCC40" w14:textId="3727CA56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završetak građevinskih radova Gradske knjižnice i društveno-kulturnog centra Paromlin u iznosu 33,3 milijuna eura</w:t>
      </w:r>
      <w:r w:rsidR="00CC09E5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5A116992" w14:textId="64473551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Dom sportova u iznosu 18 milijuna eura,</w:t>
      </w:r>
    </w:p>
    <w:p w14:paraId="690BFA53" w14:textId="4141A5CF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završetak radova bazena Špansko u iznosu 15 milijuna eura,</w:t>
      </w:r>
    </w:p>
    <w:p w14:paraId="0B8F3EC3" w14:textId="0BE5F227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Stadion Kranjčevićeva u iznosu 25 milijuna eura,</w:t>
      </w:r>
    </w:p>
    <w:p w14:paraId="116774F1" w14:textId="27F35B84" w:rsidR="00A91D9F" w:rsidRPr="00A91D9F" w:rsidRDefault="00A91D9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91D9F">
        <w:rPr>
          <w:rFonts w:ascii="Arial" w:eastAsia="Times New Roman" w:hAnsi="Arial" w:cs="Arial"/>
          <w:sz w:val="20"/>
          <w:szCs w:val="20"/>
          <w:lang w:eastAsia="hr-HR"/>
        </w:rPr>
        <w:t>Kino Europa u iznosu 6 milijuna eura,</w:t>
      </w:r>
    </w:p>
    <w:p w14:paraId="48FDFA92" w14:textId="6CCF5C7D" w:rsidR="00A91D9F" w:rsidRPr="00A91D9F" w:rsidRDefault="00D57B1F" w:rsidP="00663492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stanove</w:t>
      </w:r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za javni najam u </w:t>
      </w:r>
      <w:proofErr w:type="spellStart"/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>Podbrežju</w:t>
      </w:r>
      <w:proofErr w:type="spellEnd"/>
      <w:r w:rsidR="00A91D9F"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u iznosu 24,1 milijun eura.</w:t>
      </w:r>
    </w:p>
    <w:p w14:paraId="2001B4AB" w14:textId="77777777" w:rsidR="00F303AE" w:rsidRDefault="00F303AE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C749CBA" w14:textId="1AC39E4A" w:rsidR="00A91D9F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Radi osiguranja univerzalne dostupnosti dječjih vrtića 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>nastavljaju se ulaganja u dječje vrtiće za što su planirana sredstva u iznosu 28</w:t>
      </w:r>
      <w:r w:rsidR="00F71B06">
        <w:rPr>
          <w:rFonts w:ascii="Arial" w:eastAsia="Times New Roman" w:hAnsi="Arial" w:cs="Arial"/>
          <w:sz w:val="20"/>
          <w:szCs w:val="20"/>
          <w:lang w:eastAsia="hr-HR"/>
        </w:rPr>
        <w:t>,1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milijuna eura za izgradnju novih vrtića u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Podbrežju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Borovju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Stenjevcu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i Remetincu te dogradnje i rekonstrukcije postojećih objekata. Nastavlja se s ulaganjima u školske objekte za što su </w:t>
      </w:r>
      <w:r w:rsidR="00F71B06">
        <w:rPr>
          <w:rFonts w:ascii="Arial" w:eastAsia="Times New Roman" w:hAnsi="Arial" w:cs="Arial"/>
          <w:sz w:val="20"/>
          <w:szCs w:val="20"/>
          <w:lang w:eastAsia="hr-HR"/>
        </w:rPr>
        <w:t>planirana sredstva u iznosu 73,6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milijuna eura, od čega najznačajnije Osnova škola Horvati, Osnovna škola Lanište i Osnovna škola Brezovica, područna škola Donji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Dragonožec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te sportske dvorane Osnovne škole Stjepana </w:t>
      </w:r>
      <w:proofErr w:type="spellStart"/>
      <w:r w:rsidRPr="00A91D9F">
        <w:rPr>
          <w:rFonts w:ascii="Arial" w:eastAsia="Times New Roman" w:hAnsi="Arial" w:cs="Arial"/>
          <w:sz w:val="20"/>
          <w:szCs w:val="20"/>
          <w:lang w:eastAsia="hr-HR"/>
        </w:rPr>
        <w:t>Bencekovića</w:t>
      </w:r>
      <w:proofErr w:type="spellEnd"/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 i Osnovne škole Odra.</w:t>
      </w:r>
    </w:p>
    <w:p w14:paraId="24440E28" w14:textId="3AF0060B" w:rsidR="00A91D9F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A8D407" w14:textId="77777777" w:rsidR="00F303AE" w:rsidRDefault="00F303AE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br w:type="page"/>
      </w:r>
    </w:p>
    <w:p w14:paraId="28BC7E0E" w14:textId="5122C33D" w:rsidR="00A91D9F" w:rsidRDefault="00A91D9F" w:rsidP="00AA6D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Isto tako, u prijedlogu Proračuna za 2026. planirana su kapitalna ulaganja 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 xml:space="preserve">u cjelovitu i energetsku obnovu </w:t>
      </w:r>
      <w:r>
        <w:rPr>
          <w:rFonts w:ascii="Arial" w:eastAsia="Times New Roman" w:hAnsi="Arial" w:cs="Arial"/>
          <w:sz w:val="20"/>
          <w:szCs w:val="20"/>
          <w:lang w:eastAsia="hr-HR"/>
        </w:rPr>
        <w:t>objekata</w:t>
      </w:r>
      <w:r w:rsidR="00A1695C">
        <w:rPr>
          <w:rFonts w:ascii="Arial" w:eastAsia="Times New Roman" w:hAnsi="Arial" w:cs="Arial"/>
          <w:sz w:val="20"/>
          <w:szCs w:val="20"/>
          <w:lang w:eastAsia="hr-HR"/>
        </w:rPr>
        <w:t xml:space="preserve"> kulture</w:t>
      </w:r>
      <w:r w:rsidRPr="00A91D9F">
        <w:rPr>
          <w:rFonts w:ascii="Arial" w:eastAsia="Times New Roman" w:hAnsi="Arial" w:cs="Arial"/>
          <w:sz w:val="20"/>
          <w:szCs w:val="20"/>
          <w:lang w:eastAsia="hr-HR"/>
        </w:rPr>
        <w:t xml:space="preserve">: Muzeja za umjetnost i obrt, Umjetničkog paviljona, Ustanove Zagreb film i Zagrebačkog gradskog kazališta Komedija u iznosu 35,4 milijuna eura, najvećim dijelom iz </w:t>
      </w:r>
      <w:r w:rsidR="00CC09E5">
        <w:rPr>
          <w:rFonts w:ascii="Arial" w:eastAsia="Times New Roman" w:hAnsi="Arial" w:cs="Arial"/>
          <w:sz w:val="20"/>
          <w:szCs w:val="20"/>
          <w:lang w:eastAsia="hr-HR"/>
        </w:rPr>
        <w:t>Mehanizma za oporavak i otpornost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. U području socijalnih objekata ističe se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nastavak kapitalnih  ulaganja u domove za starije osobe s ciljem osiguravanja kvalitetnijih uvjeta smještaja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što uključuje i cjelovitu obnovu tri 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objekta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na lokacijama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Mar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tićeva, </w:t>
      </w:r>
      <w:proofErr w:type="spellStart"/>
      <w:r w:rsidR="001E49CB">
        <w:rPr>
          <w:rFonts w:ascii="Arial" w:eastAsia="Times New Roman" w:hAnsi="Arial" w:cs="Arial"/>
          <w:sz w:val="20"/>
          <w:szCs w:val="20"/>
          <w:lang w:eastAsia="hr-HR"/>
        </w:rPr>
        <w:t>Crnatkova</w:t>
      </w:r>
      <w:proofErr w:type="spellEnd"/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 i Drenovačka)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. K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apitaln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ulaganja u zdravstvene ustanove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obuhvaćaju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dovršetak cjelovite obnove i opremanja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sedam objekata 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zdravstvenih ustanova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Dječje bolnice Srebrnjak, Psihijatrijske bolnice za djecu i mladež, Specijalne bolnice za plućne bolesti, </w:t>
      </w:r>
      <w:r w:rsidR="003A611C">
        <w:rPr>
          <w:rFonts w:ascii="Arial" w:eastAsia="Times New Roman" w:hAnsi="Arial" w:cs="Arial"/>
          <w:sz w:val="20"/>
          <w:szCs w:val="20"/>
          <w:lang w:eastAsia="hr-HR"/>
        </w:rPr>
        <w:t>Stomatološke poliklinike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Dom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 zdravlja Zagreb Centar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na lokacijama Remetinečki gaj i </w:t>
      </w:r>
      <w:proofErr w:type="spellStart"/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>Laginjina</w:t>
      </w:r>
      <w:proofErr w:type="spellEnd"/>
      <w:r w:rsidR="001E49CB">
        <w:rPr>
          <w:rFonts w:ascii="Arial" w:eastAsia="Times New Roman" w:hAnsi="Arial" w:cs="Arial"/>
          <w:sz w:val="20"/>
          <w:szCs w:val="20"/>
          <w:lang w:eastAsia="hr-HR"/>
        </w:rPr>
        <w:t xml:space="preserve"> te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>Dom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AA6D83">
        <w:rPr>
          <w:rFonts w:ascii="Arial" w:eastAsia="Times New Roman" w:hAnsi="Arial" w:cs="Arial"/>
          <w:sz w:val="20"/>
          <w:szCs w:val="20"/>
          <w:lang w:eastAsia="hr-HR"/>
        </w:rPr>
        <w:t xml:space="preserve"> zdravlja Zagreb Zapad</w:t>
      </w:r>
      <w:r w:rsidR="00AA6D83" w:rsidRPr="00AA6D83">
        <w:rPr>
          <w:rFonts w:ascii="Arial" w:eastAsia="Times New Roman" w:hAnsi="Arial" w:cs="Arial"/>
          <w:sz w:val="20"/>
          <w:szCs w:val="20"/>
          <w:lang w:eastAsia="hr-HR"/>
        </w:rPr>
        <w:t xml:space="preserve"> na lokaciji Prilaz baruna Filipovića</w:t>
      </w:r>
      <w:r w:rsidR="00D57B1F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14:paraId="4FE1C0BF" w14:textId="22AC5121" w:rsidR="006016C5" w:rsidRDefault="006016C5" w:rsidP="00AA6D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7B12E7D" w14:textId="150BBD35" w:rsidR="006016C5" w:rsidRPr="002B77DB" w:rsidRDefault="006016C5" w:rsidP="00F84434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 području prometa</w:t>
      </w:r>
      <w:r w:rsidR="001E49C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F84434">
        <w:rPr>
          <w:rFonts w:ascii="Arial" w:eastAsia="Times New Roman" w:hAnsi="Arial" w:cs="Arial"/>
          <w:sz w:val="20"/>
          <w:szCs w:val="20"/>
          <w:lang w:eastAsia="hr-HR"/>
        </w:rPr>
        <w:t xml:space="preserve"> z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a gradnju nerazvrstanih cesta planirana su sredstva u iznosu od 56</w:t>
      </w:r>
      <w:r w:rsidR="00F84434">
        <w:rPr>
          <w:rFonts w:ascii="Arial" w:eastAsia="Times New Roman" w:hAnsi="Arial" w:cs="Arial"/>
          <w:sz w:val="20"/>
          <w:szCs w:val="20"/>
          <w:lang w:eastAsia="hr-HR"/>
        </w:rPr>
        <w:t>,3 milijuna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eura, 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>od čega značajnije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nastavak izgradnje produžetka Ulice kneza Branimira, izgradnja tramvajske pruge od Ulice kralja Zv</w:t>
      </w:r>
      <w:r w:rsidR="003B756B">
        <w:rPr>
          <w:rFonts w:ascii="Arial" w:eastAsia="Times New Roman" w:hAnsi="Arial" w:cs="Arial"/>
          <w:sz w:val="20"/>
          <w:szCs w:val="20"/>
          <w:lang w:eastAsia="hr-HR"/>
        </w:rPr>
        <w:t>onimira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 xml:space="preserve"> do okretišta </w:t>
      </w:r>
      <w:proofErr w:type="spellStart"/>
      <w:r w:rsidR="008A7C39">
        <w:rPr>
          <w:rFonts w:ascii="Arial" w:eastAsia="Times New Roman" w:hAnsi="Arial" w:cs="Arial"/>
          <w:sz w:val="20"/>
          <w:szCs w:val="20"/>
          <w:lang w:eastAsia="hr-HR"/>
        </w:rPr>
        <w:t>Savišće</w:t>
      </w:r>
      <w:proofErr w:type="spellEnd"/>
      <w:r w:rsidR="008A7C39">
        <w:rPr>
          <w:rFonts w:ascii="Arial" w:eastAsia="Times New Roman" w:hAnsi="Arial" w:cs="Arial"/>
          <w:sz w:val="20"/>
          <w:szCs w:val="20"/>
          <w:lang w:eastAsia="hr-HR"/>
        </w:rPr>
        <w:t xml:space="preserve"> te </w:t>
      </w:r>
      <w:r w:rsidR="005F53EF">
        <w:rPr>
          <w:rFonts w:ascii="Arial" w:eastAsia="Times New Roman" w:hAnsi="Arial" w:cs="Arial"/>
          <w:sz w:val="20"/>
          <w:szCs w:val="20"/>
          <w:lang w:eastAsia="hr-HR"/>
        </w:rPr>
        <w:t xml:space="preserve">završetak radova na 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rekonstrukcij</w:t>
      </w:r>
      <w:r w:rsidR="005F53EF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dijela Sarajevske ulice od Avenije Dubrovnik do Ranžirnog kolodvora.</w:t>
      </w:r>
      <w:r w:rsidR="008A7C3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Za izvanredno održavanje nerazvrstanih cesta i cestovnih objekata plani</w:t>
      </w:r>
      <w:r w:rsidR="00F84434">
        <w:rPr>
          <w:rFonts w:ascii="Arial" w:eastAsia="Times New Roman" w:hAnsi="Arial" w:cs="Arial"/>
          <w:sz w:val="20"/>
          <w:szCs w:val="20"/>
          <w:lang w:eastAsia="hr-HR"/>
        </w:rPr>
        <w:t>rana su sredstva u iznosu od 22 milijuna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 xml:space="preserve"> eura, </w:t>
      </w:r>
      <w:r w:rsidR="00F303AE">
        <w:rPr>
          <w:rFonts w:ascii="Arial" w:eastAsia="Times New Roman" w:hAnsi="Arial" w:cs="Arial"/>
          <w:sz w:val="20"/>
          <w:szCs w:val="20"/>
          <w:lang w:eastAsia="hr-HR"/>
        </w:rPr>
        <w:t xml:space="preserve">što između ostalog </w:t>
      </w:r>
      <w:r w:rsidR="00F84434" w:rsidRPr="00F84434">
        <w:rPr>
          <w:rFonts w:ascii="Arial" w:eastAsia="Times New Roman" w:hAnsi="Arial" w:cs="Arial"/>
          <w:sz w:val="20"/>
          <w:szCs w:val="20"/>
          <w:lang w:eastAsia="hr-HR"/>
        </w:rPr>
        <w:t>obuhvaća sanaciju Podsusedskog mosta i izvanredno održavanje nadvožnjaka Odra</w:t>
      </w:r>
      <w:r w:rsidR="00F303AE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57DC216" w14:textId="77777777" w:rsidR="00A91D9F" w:rsidRPr="003B3DB5" w:rsidRDefault="00A91D9F" w:rsidP="00A91D9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74E7C9B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573766A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13E8693" w14:textId="77777777" w:rsidR="005F53EF" w:rsidRPr="005F53EF" w:rsidRDefault="005F53EF" w:rsidP="005F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710B2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F7155F1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1AF06AB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A80F02D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52F84A8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4313A4F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2B83C14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1D9D290" w14:textId="77777777" w:rsidR="005F53EF" w:rsidRDefault="005F53EF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CF8DA7" w14:textId="77777777" w:rsidR="00F303AE" w:rsidRDefault="00F303AE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br w:type="page"/>
      </w:r>
    </w:p>
    <w:p w14:paraId="4D951E16" w14:textId="6F0E0480" w:rsidR="00A80AAA" w:rsidRPr="00415412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15412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PRIHODI I PRIMICI</w:t>
      </w:r>
    </w:p>
    <w:p w14:paraId="6CB004EF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7BA47F3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Plan prihoda Grada Zagreba za razdoblje 2026. – 2028. zasniva se na važećim zakonskim propisima koji reguliraju pripadnost prihoda za financiranje javnih potreba iz nadležnosti lokalne i područne (regionalne) samouprave te sadrži plan po ekonomskoj klasifikaciji i izvorima financiranja.</w:t>
      </w:r>
    </w:p>
    <w:p w14:paraId="00670A53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C03CBDA" w14:textId="77777777" w:rsidR="00A80AAA" w:rsidRPr="00037970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Prihodi i primici Proračuna Grada Zagreba za 2026. uključujući  višak iz prethodnog razdoblja planiraju  se u ukupnom iznosu od </w:t>
      </w:r>
      <w:r w:rsidRPr="00037970">
        <w:rPr>
          <w:rFonts w:ascii="Arial" w:eastAsia="Times New Roman" w:hAnsi="Arial" w:cs="Arial"/>
          <w:b/>
          <w:sz w:val="20"/>
          <w:szCs w:val="20"/>
          <w:lang w:eastAsia="hr-HR"/>
        </w:rPr>
        <w:t>3.154.953.380</w:t>
      </w: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 eura, od čega se </w:t>
      </w:r>
      <w:r w:rsidRPr="00037970">
        <w:rPr>
          <w:rFonts w:ascii="Arial" w:eastAsia="Times New Roman" w:hAnsi="Arial" w:cs="Arial"/>
          <w:b/>
          <w:sz w:val="20"/>
          <w:szCs w:val="20"/>
          <w:lang w:eastAsia="hr-HR"/>
        </w:rPr>
        <w:t>2.282.978.350</w:t>
      </w: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 eura odnosi na proračun u užem smislu (bez vlastitih i namjenskih prihoda i primitaka proračunskih korisnika) dok se </w:t>
      </w:r>
      <w:r w:rsidRPr="00037970">
        <w:rPr>
          <w:rFonts w:ascii="Arial" w:eastAsia="Times New Roman" w:hAnsi="Arial" w:cs="Arial"/>
          <w:b/>
          <w:sz w:val="20"/>
          <w:szCs w:val="20"/>
          <w:lang w:eastAsia="hr-HR"/>
        </w:rPr>
        <w:t>871.975.030</w:t>
      </w:r>
      <w:r w:rsidRPr="00037970">
        <w:rPr>
          <w:rFonts w:ascii="Arial" w:eastAsia="Times New Roman" w:hAnsi="Arial" w:cs="Arial"/>
          <w:sz w:val="20"/>
          <w:szCs w:val="20"/>
          <w:lang w:eastAsia="hr-HR"/>
        </w:rPr>
        <w:t xml:space="preserve"> eura odnosi na proračunske korisnike. </w:t>
      </w:r>
    </w:p>
    <w:p w14:paraId="08B0186E" w14:textId="77777777" w:rsidR="00A80AAA" w:rsidRPr="00037970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A5F895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083E6BC3" w14:textId="77777777" w:rsidR="00A80AAA" w:rsidRPr="0066740C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6740C">
        <w:rPr>
          <w:rFonts w:ascii="Arial" w:eastAsia="Times New Roman" w:hAnsi="Arial" w:cs="Arial"/>
          <w:b/>
          <w:sz w:val="20"/>
          <w:szCs w:val="20"/>
          <w:lang w:eastAsia="hr-HR"/>
        </w:rPr>
        <w:t>PRIHODI / PRIMICI / VIŠAK PRIHODA – UKUPNO</w:t>
      </w:r>
    </w:p>
    <w:p w14:paraId="5DB8DF8B" w14:textId="77777777" w:rsidR="00A80AAA" w:rsidRPr="0066740C" w:rsidRDefault="00A80AAA" w:rsidP="00A80AAA">
      <w:pPr>
        <w:spacing w:after="0" w:line="240" w:lineRule="auto"/>
        <w:jc w:val="center"/>
      </w:pPr>
    </w:p>
    <w:p w14:paraId="1864D12F" w14:textId="77777777" w:rsidR="00A80AAA" w:rsidRPr="00973266" w:rsidRDefault="00A80AAA" w:rsidP="00A80AAA">
      <w:pPr>
        <w:spacing w:after="0" w:line="240" w:lineRule="auto"/>
        <w:jc w:val="center"/>
        <w:rPr>
          <w:color w:val="FF0000"/>
        </w:rPr>
      </w:pPr>
      <w:r w:rsidRPr="0066740C">
        <w:rPr>
          <w:noProof/>
          <w:lang w:eastAsia="hr-HR"/>
        </w:rPr>
        <w:drawing>
          <wp:inline distT="0" distB="0" distL="0" distR="0" wp14:anchorId="41B2E872" wp14:editId="078C47BE">
            <wp:extent cx="5760412" cy="6381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79" cy="63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AAF3" w14:textId="77777777" w:rsidR="00A80AAA" w:rsidRPr="00973266" w:rsidRDefault="00A80AAA" w:rsidP="00A80AAA">
      <w:pPr>
        <w:spacing w:after="0" w:line="240" w:lineRule="auto"/>
        <w:jc w:val="center"/>
        <w:rPr>
          <w:color w:val="FF0000"/>
        </w:rPr>
      </w:pPr>
    </w:p>
    <w:p w14:paraId="63E012E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16"/>
          <w:szCs w:val="16"/>
          <w:lang w:eastAsia="hr-HR"/>
        </w:rPr>
      </w:pPr>
    </w:p>
    <w:p w14:paraId="2643089B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66740C">
        <w:rPr>
          <w:noProof/>
          <w:lang w:eastAsia="hr-HR"/>
        </w:rPr>
        <w:lastRenderedPageBreak/>
        <w:drawing>
          <wp:inline distT="0" distB="0" distL="0" distR="0" wp14:anchorId="2BA8EDD6" wp14:editId="0AB8EBDC">
            <wp:extent cx="5760720" cy="7618431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FB78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973266">
        <w:rPr>
          <w:rFonts w:ascii="Arial" w:eastAsia="Times New Roman" w:hAnsi="Arial" w:cs="Arial"/>
          <w:color w:val="FF0000"/>
          <w:sz w:val="16"/>
          <w:szCs w:val="16"/>
          <w:lang w:eastAsia="hr-HR"/>
        </w:rPr>
        <w:br w:type="page"/>
      </w:r>
    </w:p>
    <w:p w14:paraId="519530A4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076AE0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PRIHODI / PRIMICI – GRAD </w:t>
      </w:r>
    </w:p>
    <w:p w14:paraId="6377DBC4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076AE0">
        <w:rPr>
          <w:noProof/>
          <w:lang w:eastAsia="hr-HR"/>
        </w:rPr>
        <w:drawing>
          <wp:inline distT="0" distB="0" distL="0" distR="0" wp14:anchorId="733D047A" wp14:editId="0C863E28">
            <wp:extent cx="5838092" cy="92495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97" cy="926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9DEF" w14:textId="0ADD4068" w:rsidR="00A80AAA" w:rsidRPr="00973266" w:rsidRDefault="00A80AAA" w:rsidP="00724BB6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br w:type="page"/>
      </w:r>
      <w:r w:rsidRPr="00076AE0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PRIHODI / PRIMICI / VIŠAK PRIHODA - PRORAČUNSKI KORISNICI </w:t>
      </w:r>
    </w:p>
    <w:p w14:paraId="6ADEC51F" w14:textId="2301FEB8" w:rsidR="00A80AAA" w:rsidRPr="00973266" w:rsidRDefault="00A43B41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A43B41">
        <w:rPr>
          <w:noProof/>
          <w:lang w:eastAsia="hr-HR"/>
        </w:rPr>
        <w:drawing>
          <wp:inline distT="0" distB="0" distL="0" distR="0" wp14:anchorId="3B63CCDF" wp14:editId="1E2CC952">
            <wp:extent cx="5544353" cy="7851531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599" cy="78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144B" w14:textId="70C8523A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65407FF3" w14:textId="77777777" w:rsidR="00A80AAA" w:rsidRPr="00973266" w:rsidRDefault="00A80AAA" w:rsidP="00A80AA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76796D1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2B5BB13A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77AAC0D4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CB47F25" w14:textId="77777777" w:rsidR="00A80AAA" w:rsidRDefault="00A80AAA" w:rsidP="00A80AAA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br w:type="page"/>
      </w:r>
    </w:p>
    <w:p w14:paraId="637EB1A4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Prihodi i primici Proračuna Grada Zagreba po ekonomskoj klasifikaciji za 2026.:</w:t>
      </w:r>
    </w:p>
    <w:p w14:paraId="0E71BC85" w14:textId="77777777" w:rsidR="00A80AAA" w:rsidRPr="00B21131" w:rsidRDefault="00A80AAA" w:rsidP="00A80AA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59E8EC" w14:textId="77777777" w:rsidR="00A80AAA" w:rsidRPr="00B21131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PRIHODI POSLOVANJA </w:t>
      </w:r>
    </w:p>
    <w:p w14:paraId="60497ED3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poreza,</w:t>
      </w:r>
    </w:p>
    <w:p w14:paraId="7E933D5D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pomoći iz inozemstva i od subjekata unutar općeg proračuna,</w:t>
      </w:r>
    </w:p>
    <w:p w14:paraId="71A61B62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imovine,</w:t>
      </w:r>
    </w:p>
    <w:p w14:paraId="0C756F86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upravnih i administrativnih pristojbi, pristojbi po posebnim propisima i naknada,</w:t>
      </w:r>
    </w:p>
    <w:p w14:paraId="104410F8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prodaje proizvoda i robe te pruženih usluga, prihodi od donacija te povrati po protestiranim jamstvima,</w:t>
      </w:r>
    </w:p>
    <w:p w14:paraId="1E4BB0CB" w14:textId="77777777" w:rsidR="00A80AAA" w:rsidRPr="00B21131" w:rsidRDefault="00A80AAA" w:rsidP="006634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kazne, upravne mjere i ostali prihodi.</w:t>
      </w:r>
    </w:p>
    <w:p w14:paraId="58CA2626" w14:textId="77777777" w:rsidR="00A80AAA" w:rsidRPr="00973266" w:rsidRDefault="00A80AAA" w:rsidP="00A80AAA">
      <w:pPr>
        <w:spacing w:after="0" w:line="240" w:lineRule="auto"/>
        <w:ind w:left="1080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E2667CE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>PRIHODI OD PRODAJE NEFINANCIJSKE IMOVINE</w:t>
      </w:r>
    </w:p>
    <w:p w14:paraId="0269282D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prodaje neproizvedene dugotrajne imovine,</w:t>
      </w:r>
    </w:p>
    <w:p w14:paraId="1736EDC3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prihodi od prodaje proizvedene dugotrajne imovine.</w:t>
      </w:r>
    </w:p>
    <w:p w14:paraId="314C1A26" w14:textId="77777777" w:rsidR="00A80AAA" w:rsidRPr="00B21131" w:rsidRDefault="00A80AAA" w:rsidP="00A80AAA">
      <w:pPr>
        <w:spacing w:after="0" w:line="240" w:lineRule="auto"/>
        <w:ind w:left="186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93F926" w14:textId="77777777" w:rsidR="00A80AAA" w:rsidRPr="00B21131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>PRIMICI OD FINANCIJSKE IMOVINE I ZADUŽIVANJA</w:t>
      </w:r>
    </w:p>
    <w:p w14:paraId="7AC9FC5F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primljeni povrati glavnica danih zajmova,</w:t>
      </w:r>
    </w:p>
    <w:p w14:paraId="31E3B2FC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primici od prodaje financijskih instrumenata - dionica i udjela u glavnici,</w:t>
      </w:r>
    </w:p>
    <w:p w14:paraId="07564BBC" w14:textId="77777777" w:rsidR="00A80AAA" w:rsidRPr="00B21131" w:rsidRDefault="00A80AAA" w:rsidP="006634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primici od zaduživanja.</w:t>
      </w:r>
    </w:p>
    <w:p w14:paraId="14A42B24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917AE42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C85244C" w14:textId="77777777" w:rsidR="00A80AAA" w:rsidRPr="00B21131" w:rsidRDefault="00A80AAA" w:rsidP="00A80AAA">
      <w:pPr>
        <w:spacing w:after="16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Prihodi i primici proračuna Grada Zagreba bez </w:t>
      </w:r>
      <w:r w:rsidRPr="00DB515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vlastitih i namjenskih prihoda i primitaka proračunskih korisnika </w:t>
      </w:r>
      <w:r w:rsidRPr="00DD7B50">
        <w:rPr>
          <w:rFonts w:ascii="Arial" w:eastAsia="Times New Roman" w:hAnsi="Arial" w:cs="Arial"/>
          <w:sz w:val="20"/>
          <w:szCs w:val="20"/>
          <w:lang w:eastAsia="hr-HR"/>
        </w:rPr>
        <w:t>uključujući višak iz prethodnog razdoblja</w:t>
      </w:r>
      <w:r w:rsidRPr="00973266">
        <w:rPr>
          <w:rFonts w:ascii="Arial" w:eastAsia="Times New Roman" w:hAnsi="Arial" w:cs="Arial"/>
          <w:bCs/>
          <w:color w:val="FF0000"/>
          <w:sz w:val="20"/>
          <w:szCs w:val="20"/>
          <w:lang w:eastAsia="hr-HR"/>
        </w:rPr>
        <w:t xml:space="preserve"> 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planiraju se u iznosu od 2.2</w:t>
      </w:r>
      <w:r>
        <w:rPr>
          <w:rFonts w:ascii="Arial" w:eastAsia="Times New Roman" w:hAnsi="Arial" w:cs="Arial"/>
          <w:sz w:val="20"/>
          <w:szCs w:val="20"/>
          <w:lang w:eastAsia="hr-HR"/>
        </w:rPr>
        <w:t>82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>978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>50 eura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ACE3713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>Obrazloženje planiranih iznosa prihoda i primitaka daje se u nastavku.</w:t>
      </w:r>
    </w:p>
    <w:p w14:paraId="1423A7FA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6EFCDA7" w14:textId="77777777" w:rsidR="00A80AAA" w:rsidRPr="00B21131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PRIHODI POSLOVANJA </w:t>
      </w:r>
    </w:p>
    <w:p w14:paraId="28B16379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3841F0B3" w14:textId="77777777" w:rsidR="00A80AAA" w:rsidRPr="0006212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Prihodi poslovanja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</w:t>
      </w:r>
      <w:r w:rsidRPr="007A52DE">
        <w:rPr>
          <w:rFonts w:ascii="Arial" w:eastAsia="Times New Roman" w:hAnsi="Arial" w:cs="Arial"/>
          <w:sz w:val="20"/>
          <w:szCs w:val="20"/>
          <w:lang w:eastAsia="hr-HR"/>
        </w:rPr>
        <w:t>od 2.061.891.150 eura i u strukturi prihoda i primitaka čine 90,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65 </w:t>
      </w:r>
      <w:r w:rsidRPr="007A52DE">
        <w:rPr>
          <w:rFonts w:ascii="Arial" w:eastAsia="Times New Roman" w:hAnsi="Arial" w:cs="Arial"/>
          <w:sz w:val="20"/>
          <w:szCs w:val="20"/>
          <w:lang w:eastAsia="hr-HR"/>
        </w:rPr>
        <w:t>%.</w:t>
      </w:r>
    </w:p>
    <w:p w14:paraId="54BBD16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hr-HR"/>
        </w:rPr>
      </w:pPr>
    </w:p>
    <w:p w14:paraId="445D361B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21131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Prihodi od poreza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</w:t>
      </w:r>
      <w:r w:rsidRPr="003539EA">
        <w:rPr>
          <w:rFonts w:ascii="Arial" w:eastAsia="Times New Roman" w:hAnsi="Arial" w:cs="Arial"/>
          <w:sz w:val="20"/>
          <w:szCs w:val="20"/>
          <w:lang w:eastAsia="hr-HR"/>
        </w:rPr>
        <w:t xml:space="preserve">od 1.633.130.000 eura 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>i obuhvaćaju porez na dohodak</w:t>
      </w:r>
      <w:r>
        <w:rPr>
          <w:rFonts w:ascii="Arial" w:eastAsia="Times New Roman" w:hAnsi="Arial" w:cs="Arial"/>
          <w:sz w:val="20"/>
          <w:szCs w:val="20"/>
          <w:lang w:eastAsia="hr-HR"/>
        </w:rPr>
        <w:t>, poreze na imovinu i poreze na robu i usluge.</w:t>
      </w:r>
    </w:p>
    <w:p w14:paraId="46F193E8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C40CEA" w14:textId="77777777" w:rsidR="00A80AAA" w:rsidRPr="00B2113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9625B">
        <w:rPr>
          <w:rFonts w:ascii="Arial" w:eastAsia="Times New Roman" w:hAnsi="Arial" w:cs="Arial"/>
          <w:i/>
          <w:sz w:val="20"/>
          <w:szCs w:val="20"/>
          <w:lang w:eastAsia="hr-HR"/>
        </w:rPr>
        <w:t>Porez na dohodak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 planira se u iznosu od </w:t>
      </w:r>
      <w:r w:rsidRPr="00DB5154">
        <w:rPr>
          <w:rFonts w:ascii="Arial" w:eastAsia="Times New Roman" w:hAnsi="Arial" w:cs="Arial"/>
          <w:sz w:val="20"/>
          <w:szCs w:val="20"/>
          <w:lang w:eastAsia="hr-HR"/>
        </w:rPr>
        <w:t xml:space="preserve">1.550.000.000 eura </w:t>
      </w:r>
      <w:r w:rsidRPr="00B21131">
        <w:rPr>
          <w:rFonts w:ascii="Arial" w:eastAsia="Times New Roman" w:hAnsi="Arial" w:cs="Arial"/>
          <w:sz w:val="20"/>
          <w:szCs w:val="20"/>
          <w:lang w:eastAsia="hr-HR"/>
        </w:rPr>
        <w:t xml:space="preserve">i predstavlja najznačajniji prihod Grada. </w:t>
      </w:r>
    </w:p>
    <w:p w14:paraId="48303A7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D4079D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0272FE">
        <w:rPr>
          <w:rFonts w:ascii="Arial" w:eastAsia="Times New Roman" w:hAnsi="Arial" w:cs="Arial"/>
          <w:sz w:val="20"/>
          <w:szCs w:val="20"/>
          <w:lang w:eastAsia="hr-HR"/>
        </w:rPr>
        <w:t>Naplata poreza na dohodak regulirana je Zakonom o porezu na dohodak (Narodne novine 115/16, 106/18, 121/19, 32/20, 138/20, 151/22, 114/23 i 152/24)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kojim je utvrđen iznos osnovnog osobnog odbitka u visini od 600 eura</w:t>
      </w:r>
      <w:r w:rsidRPr="000272FE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EA3C7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Grad Zagreb je Odlukom o visini poreznih stopa godišnjeg poreza na dohodak (Službeni glasnik 7/25) utvrdio nižu poreznu stopu u visini 23 %  te višu poreznu stopu u visini od 33 %. Prag za primjenu više porezne stope je ostvarenje primitaka viših od 60.000 eura godišnje. Prihodi od poreza na dohodak od nesamostalnog rada planirani </w:t>
      </w:r>
      <w:r w:rsidRPr="006B072C">
        <w:rPr>
          <w:rFonts w:ascii="Arial" w:eastAsia="Times New Roman" w:hAnsi="Arial" w:cs="Arial"/>
          <w:sz w:val="20"/>
          <w:szCs w:val="20"/>
          <w:lang w:eastAsia="hr-HR"/>
        </w:rPr>
        <w:t xml:space="preserve">su uzimajući u obzir kontinuirani rast bruto plaća i povećanje stope zaposlenosti u 2025. te posljedično veći broj poreznih obveznika. </w:t>
      </w:r>
    </w:p>
    <w:p w14:paraId="2D8F224B" w14:textId="77777777" w:rsidR="00A80AAA" w:rsidRPr="003B5E52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237461" w14:textId="352E29A0" w:rsidR="00A80AAA" w:rsidRPr="00B72C3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trike/>
          <w:color w:val="0000FF"/>
          <w:sz w:val="20"/>
          <w:szCs w:val="20"/>
          <w:lang w:eastAsia="hr-HR"/>
        </w:rPr>
      </w:pPr>
      <w:r w:rsidRPr="003B5E52">
        <w:rPr>
          <w:rFonts w:ascii="Arial" w:eastAsia="Times New Roman" w:hAnsi="Arial" w:cs="Arial"/>
          <w:i/>
          <w:sz w:val="20"/>
          <w:szCs w:val="20"/>
          <w:lang w:eastAsia="hr-HR"/>
        </w:rPr>
        <w:t>Porezi na imovinu</w:t>
      </w:r>
      <w:r w:rsidRPr="003B5E5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67.100.000 eura i čine ih porez na nekretnine, porez na nasljedstva i darove i porez na promet nekretnina. Najznačajniji porez na imovinu je porez na promet nekretnina koji je reguliran Zakonom o porezu na promet nekretnina (Narodne novine 115/16 i 106/18), porezna stopa iznosi 3</w:t>
      </w:r>
      <w:r w:rsidR="004513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3B5E52">
        <w:rPr>
          <w:rFonts w:ascii="Arial" w:eastAsia="Times New Roman" w:hAnsi="Arial" w:cs="Arial"/>
          <w:sz w:val="20"/>
          <w:szCs w:val="20"/>
          <w:lang w:eastAsia="hr-HR"/>
        </w:rPr>
        <w:t xml:space="preserve">%, a prihod u cijelosti pripada lokalnim jedinicama. S obzirom na očekivano usporavanje rasta cijena nekretnina ovaj porez je u 2026. planiran u visini plana za tekuću godinu odnosno u iznosu od 56.500.000 eura. Porez na nekretnine, koji je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zamijenio dosadašnji porez na kuće za odmor, planira se u visini od 10.000.000 eura. </w:t>
      </w:r>
    </w:p>
    <w:p w14:paraId="5634A4F9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A9C856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E9625B">
        <w:rPr>
          <w:rFonts w:ascii="Arial" w:eastAsia="Times New Roman" w:hAnsi="Arial" w:cs="Arial"/>
          <w:i/>
          <w:sz w:val="20"/>
          <w:szCs w:val="20"/>
          <w:lang w:eastAsia="hr-HR"/>
        </w:rPr>
        <w:t>Porezi na robu i usluge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visini od 16.030.000 eura. Ovi porezi obuhvaćaju prihode od poreza na cestovna motorna vozila i poreza na automate za zabavne igre, a glavnina prihoda odnosi se na p</w:t>
      </w:r>
      <w:r w:rsidRPr="009D4FCC">
        <w:rPr>
          <w:rFonts w:ascii="Arial" w:eastAsia="Times New Roman" w:hAnsi="Arial" w:cs="Arial"/>
          <w:sz w:val="20"/>
          <w:szCs w:val="20"/>
          <w:lang w:eastAsia="hr-HR"/>
        </w:rPr>
        <w:t>orez na cestovna motorna vozila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koji se planira u visini od 16.000.000 eura.</w:t>
      </w:r>
    </w:p>
    <w:p w14:paraId="587769F3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</w:pPr>
    </w:p>
    <w:p w14:paraId="78287FE4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C446B2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Pomoći iz inozemstva i od subjekata unutar općeg proračuna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kao pomoći od međunarodnih organizacija te institucija i tijela EU, pomoći proračunu iz drugih proračuna, pomoći od izvanproračunskih korisnika, pomoći izravnanja za decentralizirane funkcije i fiskalnog izravnanja, pomoći temeljem prijenosa EU sredstava te prijenosi između proračunskih korisnika istog proračuna. </w:t>
      </w:r>
      <w:r w:rsidRPr="008B07AB">
        <w:rPr>
          <w:rFonts w:ascii="Arial" w:eastAsia="Times New Roman" w:hAnsi="Arial" w:cs="Arial"/>
          <w:sz w:val="20"/>
          <w:szCs w:val="20"/>
          <w:lang w:eastAsia="hr-HR"/>
        </w:rPr>
        <w:t>Ukupne pomoći planiraju se u iznosu od 180.693.790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eura.</w:t>
      </w:r>
    </w:p>
    <w:p w14:paraId="44BF4E41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A29FA56" w14:textId="77777777" w:rsidR="00A80AAA" w:rsidRPr="00BA7EA4" w:rsidRDefault="00A80AAA" w:rsidP="00663492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lastRenderedPageBreak/>
        <w:t>Pomoći od međunarodnih organizacija te institucija i tijela EU</w:t>
      </w:r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2.070.000 eura, a najvećim dijelom odnose se na projekte ZA-GREEN,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Gear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UP, Aktivacija zelenih dvorišta za ugljičnu neutralnost, Fair future, JUST4CARE, Bauhaus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bites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Reallocate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Arcadia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UP 2030, Life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Cross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, i Project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Cares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–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Remote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Healthcare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for </w:t>
      </w:r>
      <w:proofErr w:type="spellStart"/>
      <w:r w:rsidRPr="00BA7EA4">
        <w:rPr>
          <w:rFonts w:ascii="Arial" w:eastAsia="Times New Roman" w:hAnsi="Arial" w:cs="Arial"/>
          <w:sz w:val="20"/>
          <w:szCs w:val="20"/>
          <w:lang w:eastAsia="hr-HR"/>
        </w:rPr>
        <w:t>Silver</w:t>
      </w:r>
      <w:proofErr w:type="spellEnd"/>
      <w:r w:rsidRPr="00BA7EA4">
        <w:rPr>
          <w:rFonts w:ascii="Arial" w:eastAsia="Times New Roman" w:hAnsi="Arial" w:cs="Arial"/>
          <w:sz w:val="20"/>
          <w:szCs w:val="20"/>
          <w:lang w:eastAsia="hr-HR"/>
        </w:rPr>
        <w:t xml:space="preserve"> Europe;</w:t>
      </w:r>
    </w:p>
    <w:p w14:paraId="3775B692" w14:textId="77777777" w:rsidR="00A80AAA" w:rsidRPr="00B95C82" w:rsidRDefault="00A80AAA" w:rsidP="00A80AA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9E9C64C" w14:textId="77777777" w:rsidR="00A80AAA" w:rsidRPr="00B95C82" w:rsidRDefault="00A80AAA" w:rsidP="006634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>Pomoći proračunu iz drugih proračuna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18.264.400 eura, a najvećim dijelom odnose se na sufinanciranje zakupnine za Arenu,</w:t>
      </w:r>
      <w:r w:rsidRPr="007F1335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763190">
        <w:rPr>
          <w:rFonts w:ascii="Arial" w:eastAsia="Times New Roman" w:hAnsi="Arial" w:cs="Arial"/>
          <w:sz w:val="20"/>
          <w:szCs w:val="20"/>
          <w:lang w:eastAsia="hr-HR"/>
        </w:rPr>
        <w:t>nastavak financiranja iz državnog proračuna projekata započetih iz Fonda solidarnosti Europske unije kod kojih je u tijeku provođenje ugovora o izvođenju radova,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sredstva iz državnog proračuna za sufinanciranje međumjesnog javnog prijevoza učenika, za održavanje i opremanje ustanova predškolskog odgoja, za kapitalna ulaganja u zdravstvene ustanove, za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VII fazu projekta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>omoćni</w:t>
      </w:r>
      <w:r>
        <w:rPr>
          <w:rFonts w:ascii="Arial" w:eastAsia="Times New Roman" w:hAnsi="Arial" w:cs="Arial"/>
          <w:sz w:val="20"/>
          <w:szCs w:val="20"/>
          <w:lang w:eastAsia="hr-HR"/>
        </w:rPr>
        <w:t>ci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u nastavi, za projekt Školska shema, voće, povrće i mliječni proizvodi, </w:t>
      </w:r>
      <w:r>
        <w:rPr>
          <w:rFonts w:ascii="Arial" w:eastAsia="Times New Roman" w:hAnsi="Arial" w:cs="Arial"/>
          <w:sz w:val="20"/>
          <w:szCs w:val="20"/>
          <w:lang w:eastAsia="hr-HR"/>
        </w:rPr>
        <w:t>za sufinanciranje dijela kamata za kreditiranje obrtnika, malih i srednjih poduzetnika po povoljnijim uvjetima te druge pomoći;</w:t>
      </w:r>
    </w:p>
    <w:p w14:paraId="5869217B" w14:textId="77777777" w:rsidR="00A80AAA" w:rsidRPr="00B95C82" w:rsidRDefault="00A80AAA" w:rsidP="00A80AAA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4365DA6" w14:textId="77777777" w:rsidR="00A80AAA" w:rsidRPr="00B95C82" w:rsidRDefault="00A80AAA" w:rsidP="006634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>Pomoći izravnanja za decentralizirane funkcije i fiskalno izravnanje</w:t>
      </w:r>
      <w:r w:rsidRPr="00B95C8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46.253.190 eura sukladno važećim zakonskim odredbama;</w:t>
      </w:r>
    </w:p>
    <w:p w14:paraId="44B38DB5" w14:textId="77777777" w:rsidR="00A80AAA" w:rsidRPr="00973266" w:rsidRDefault="00A80AAA" w:rsidP="00A80AAA">
      <w:pPr>
        <w:pStyle w:val="ListParagraph"/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75041E1" w14:textId="77777777" w:rsidR="00A80AAA" w:rsidRPr="0025338C" w:rsidRDefault="00A80AAA" w:rsidP="00663492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Pomoći  temeljem prijenosa EU sredstava </w:t>
      </w:r>
      <w:r w:rsidRPr="0025338C">
        <w:rPr>
          <w:rFonts w:ascii="Arial" w:eastAsia="Times New Roman" w:hAnsi="Arial" w:cs="Arial"/>
          <w:sz w:val="20"/>
          <w:szCs w:val="20"/>
          <w:lang w:eastAsia="hr-HR"/>
        </w:rPr>
        <w:t>planiraju se u iznosu od 111.061.800 eura:</w:t>
      </w:r>
    </w:p>
    <w:p w14:paraId="1CFC2883" w14:textId="77777777" w:rsidR="00A80AAA" w:rsidRPr="0025338C" w:rsidRDefault="00A80AAA" w:rsidP="00663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5338C">
        <w:rPr>
          <w:rFonts w:ascii="Arial" w:eastAsia="Times New Roman" w:hAnsi="Arial" w:cs="Arial"/>
          <w:sz w:val="20"/>
          <w:szCs w:val="20"/>
          <w:lang w:eastAsia="hr-HR"/>
        </w:rPr>
        <w:t xml:space="preserve">iz Mehanizma za oporavak i otpornost u iznosu od 90.048.900 eura, i to za obnovu objekata oštećenih potresom, za izgradnju, dogradnju, rekonstrukciju i opremanje predškolskih ustanova radi osiguranja infrastrukturnih i materijalnih kapaciteta za povećanje dostupnosti ranog i predškolskog odgoja i obrazovanja, odnosno osnovnih i srednjih škola za potrebe </w:t>
      </w:r>
      <w:proofErr w:type="spellStart"/>
      <w:r w:rsidRPr="0025338C">
        <w:rPr>
          <w:rFonts w:ascii="Arial" w:eastAsia="Times New Roman" w:hAnsi="Arial" w:cs="Arial"/>
          <w:sz w:val="20"/>
          <w:szCs w:val="20"/>
          <w:lang w:eastAsia="hr-HR"/>
        </w:rPr>
        <w:t>jednosmjenskog</w:t>
      </w:r>
      <w:proofErr w:type="spellEnd"/>
      <w:r w:rsidRPr="0025338C">
        <w:rPr>
          <w:rFonts w:ascii="Arial" w:eastAsia="Times New Roman" w:hAnsi="Arial" w:cs="Arial"/>
          <w:sz w:val="20"/>
          <w:szCs w:val="20"/>
          <w:lang w:eastAsia="hr-HR"/>
        </w:rPr>
        <w:t xml:space="preserve"> rada i cjelodnevne nastave te za kapitalna ulaganja u socijalne ustanove;</w:t>
      </w:r>
    </w:p>
    <w:p w14:paraId="065CE1F0" w14:textId="7DC1FEA4" w:rsidR="00A80AAA" w:rsidRPr="00C446B2" w:rsidRDefault="00A80AAA" w:rsidP="00663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iz EU fondova u iznosu od </w:t>
      </w:r>
      <w:r w:rsidRPr="00BF237A">
        <w:rPr>
          <w:rFonts w:ascii="Arial" w:eastAsia="Times New Roman" w:hAnsi="Arial" w:cs="Arial"/>
          <w:sz w:val="20"/>
          <w:szCs w:val="20"/>
          <w:lang w:eastAsia="hr-HR"/>
        </w:rPr>
        <w:t>21.012.900 eura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za knjižnicu Paromlin, za VII. fazu projekta Pomoćnici u nastavi, za obnovu objekata oštećenih potresom, projekt Zaželi za potrebite Zagreba, za ulaganja u kapacitete za pružanje primarne i specijalističko-konzilijarne zdravstvene zaštite, projekt </w:t>
      </w:r>
      <w:proofErr w:type="spellStart"/>
      <w:r w:rsidRPr="00C446B2">
        <w:rPr>
          <w:rFonts w:ascii="Arial" w:eastAsia="Times New Roman" w:hAnsi="Arial" w:cs="Arial"/>
          <w:sz w:val="20"/>
          <w:szCs w:val="20"/>
          <w:lang w:eastAsia="hr-HR"/>
        </w:rPr>
        <w:t>Gift</w:t>
      </w:r>
      <w:proofErr w:type="spellEnd"/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, projekt H2CE, projekt </w:t>
      </w:r>
      <w:proofErr w:type="spellStart"/>
      <w:r w:rsidRPr="00C446B2">
        <w:rPr>
          <w:rFonts w:ascii="Arial" w:eastAsia="Times New Roman" w:hAnsi="Arial" w:cs="Arial"/>
          <w:sz w:val="20"/>
          <w:szCs w:val="20"/>
          <w:lang w:eastAsia="hr-HR"/>
        </w:rPr>
        <w:t>Greenscape</w:t>
      </w:r>
      <w:proofErr w:type="spellEnd"/>
      <w:r w:rsidRPr="00C446B2">
        <w:rPr>
          <w:rFonts w:ascii="Arial" w:eastAsia="Times New Roman" w:hAnsi="Arial" w:cs="Arial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p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>rojekt CoFarm4Cities, projekt Školska shema voće, povrće i mliječni proizvodi, za provedbu ITU mehanizma, za primjenu mjera ublažavanja i prilagodbe klimatskim promjenama,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za projekt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Consolidate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projekt </w:t>
      </w:r>
      <w:proofErr w:type="spellStart"/>
      <w:r w:rsidRPr="00C446B2">
        <w:rPr>
          <w:rFonts w:ascii="Arial" w:eastAsia="Times New Roman" w:hAnsi="Arial" w:cs="Arial"/>
          <w:sz w:val="20"/>
          <w:szCs w:val="20"/>
          <w:lang w:eastAsia="hr-HR"/>
        </w:rPr>
        <w:t>Nities</w:t>
      </w:r>
      <w:proofErr w:type="spellEnd"/>
      <w:r w:rsidRPr="00C446B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8D28EF">
        <w:rPr>
          <w:rFonts w:ascii="Arial" w:eastAsia="Times New Roman" w:hAnsi="Arial" w:cs="Arial"/>
          <w:sz w:val="20"/>
          <w:szCs w:val="20"/>
          <w:lang w:eastAsia="hr-HR"/>
        </w:rPr>
        <w:t xml:space="preserve"> projekt PE-</w:t>
      </w:r>
      <w:proofErr w:type="spellStart"/>
      <w:r w:rsidR="008D28EF">
        <w:rPr>
          <w:rFonts w:ascii="Arial" w:eastAsia="Times New Roman" w:hAnsi="Arial" w:cs="Arial"/>
          <w:sz w:val="20"/>
          <w:szCs w:val="20"/>
          <w:lang w:eastAsia="hr-HR"/>
        </w:rPr>
        <w:t>Academy</w:t>
      </w:r>
      <w:proofErr w:type="spellEnd"/>
      <w:r w:rsidR="008D28EF">
        <w:rPr>
          <w:rFonts w:ascii="Arial" w:eastAsia="Times New Roman" w:hAnsi="Arial" w:cs="Arial"/>
          <w:sz w:val="20"/>
          <w:szCs w:val="20"/>
          <w:lang w:eastAsia="hr-HR"/>
        </w:rPr>
        <w:t>, za ozelenji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>vanje urbanih sredina Grada Zagreba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te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za odgoj i obrazovanje djece s teškoćama slušanja i govora;</w:t>
      </w:r>
    </w:p>
    <w:p w14:paraId="34546411" w14:textId="77777777" w:rsidR="00A80AAA" w:rsidRPr="00973266" w:rsidRDefault="00A80AAA" w:rsidP="00A80AAA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48FBCA4" w14:textId="1652D763" w:rsidR="00A80AAA" w:rsidRPr="00C446B2" w:rsidRDefault="00A80AAA" w:rsidP="00663492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4643">
        <w:rPr>
          <w:rFonts w:ascii="Arial" w:eastAsia="Times New Roman" w:hAnsi="Arial" w:cs="Arial"/>
          <w:i/>
          <w:sz w:val="20"/>
          <w:szCs w:val="20"/>
          <w:lang w:eastAsia="hr-HR"/>
        </w:rPr>
        <w:t>Tekući prijenosi između proračunskih korisnika istog proračuna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2.914.400 eura</w:t>
      </w:r>
      <w:r w:rsidR="008D28EF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>
        <w:rPr>
          <w:rFonts w:ascii="Arial" w:eastAsia="Times New Roman" w:hAnsi="Arial" w:cs="Arial"/>
          <w:sz w:val="20"/>
          <w:szCs w:val="20"/>
          <w:lang w:eastAsia="hr-HR"/>
        </w:rPr>
        <w:t>najznačajniji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odnos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na prijenos sredstava iz Gradskog ureda za obrazovanje, sport i mlade ustanovi Poliklinika za rehabilitaciju slušanja i govora SUVAG za </w:t>
      </w:r>
      <w:r>
        <w:rPr>
          <w:rFonts w:ascii="Arial" w:eastAsia="Times New Roman" w:hAnsi="Arial" w:cs="Arial"/>
          <w:sz w:val="20"/>
          <w:szCs w:val="20"/>
          <w:lang w:eastAsia="hr-HR"/>
        </w:rPr>
        <w:t>program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rehabilitacije djece s teškoćama slušanja i govora i iz Gradskog ureda za socijalnu zaštitu</w:t>
      </w:r>
      <w:r>
        <w:rPr>
          <w:rFonts w:ascii="Arial" w:eastAsia="Times New Roman" w:hAnsi="Arial" w:cs="Arial"/>
          <w:sz w:val="20"/>
          <w:szCs w:val="20"/>
          <w:lang w:eastAsia="hr-HR"/>
        </w:rPr>
        <w:t>, zdravstvo, branitelje i osobe s invaliditetom</w:t>
      </w:r>
      <w:r w:rsidRPr="00C446B2">
        <w:rPr>
          <w:rFonts w:ascii="Arial" w:eastAsia="Times New Roman" w:hAnsi="Arial" w:cs="Arial"/>
          <w:sz w:val="20"/>
          <w:szCs w:val="20"/>
          <w:lang w:eastAsia="hr-HR"/>
        </w:rPr>
        <w:t xml:space="preserve"> za Centar za autizam u okviru programa skrbi o osobama s invaliditetom.</w:t>
      </w:r>
    </w:p>
    <w:p w14:paraId="39449899" w14:textId="77777777" w:rsidR="00A80AAA" w:rsidRPr="00973266" w:rsidRDefault="00A80AAA" w:rsidP="00A80AAA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79F0831" w14:textId="77777777" w:rsidR="00A80AAA" w:rsidRPr="008B07AB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B07AB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Prihodi od imovine</w:t>
      </w:r>
      <w:r w:rsidRPr="008B07AB">
        <w:rPr>
          <w:rFonts w:ascii="Arial" w:eastAsia="Times New Roman" w:hAnsi="Arial" w:cs="Arial"/>
          <w:sz w:val="20"/>
          <w:szCs w:val="20"/>
          <w:lang w:eastAsia="hr-HR"/>
        </w:rPr>
        <w:t xml:space="preserve"> obuhvaćaju prihode od financijske i nefinancijske imovine te pr</w:t>
      </w:r>
      <w:r>
        <w:rPr>
          <w:rFonts w:ascii="Arial" w:eastAsia="Times New Roman" w:hAnsi="Arial" w:cs="Arial"/>
          <w:sz w:val="20"/>
          <w:szCs w:val="20"/>
          <w:lang w:eastAsia="hr-HR"/>
        </w:rPr>
        <w:t>ihode od kamata na dane zajmove, a planiraju se</w:t>
      </w:r>
      <w:r w:rsidRPr="008B07AB">
        <w:rPr>
          <w:rFonts w:ascii="Arial" w:eastAsia="Times New Roman" w:hAnsi="Arial" w:cs="Arial"/>
          <w:sz w:val="20"/>
          <w:szCs w:val="20"/>
          <w:lang w:eastAsia="hr-HR"/>
        </w:rPr>
        <w:t xml:space="preserve"> u iznosu od 78.534.600 eura. </w:t>
      </w:r>
    </w:p>
    <w:p w14:paraId="4B09F4C6" w14:textId="77777777" w:rsidR="00A80AAA" w:rsidRPr="008B07AB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80039E1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i/>
          <w:sz w:val="20"/>
          <w:szCs w:val="20"/>
          <w:lang w:eastAsia="hr-HR"/>
        </w:rPr>
        <w:t>Prihodi od nefinancijske imovine</w:t>
      </w: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75.531.600 eura i čine ih naknade za koncesije, prihodi od zakupa i iznajmljivanja imovine, naknada za korištenje nefinancijske imovine, naknade za ceste i ostali prihodi od nefinancijske imovine (naknada za zadržavanje nezakonito izgrađene zgrade u prostoru).</w:t>
      </w:r>
    </w:p>
    <w:p w14:paraId="1BB94070" w14:textId="77777777" w:rsidR="00A80AAA" w:rsidRPr="009D6409" w:rsidRDefault="00A80AAA" w:rsidP="00A80AA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CE9B80B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>Naknade za koncesije obuhvaćaju naknade za koncesiju za gospodarsko korištenje voda, za distribuciju toplinske energije i plina, za izgradnju i upravljanje zračnom lukom te za obavljanje dimnjačarskih usluga. Planiraju se u iznosu od 6.520.000 eura.</w:t>
      </w:r>
    </w:p>
    <w:p w14:paraId="1D46500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D798BDE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>Prihodi od zakupa i iznajmljivanja gradske imovine planiraju se u iznosu od 24.076.000 eura. Obuhvaćaju zakup poslovnih prostora, najam stanova i zakup javnih gradskih površina i poljoprivrednog zemljišta.</w:t>
      </w:r>
    </w:p>
    <w:p w14:paraId="2AF77D45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8D8DB0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Naknade za korištenje nefinancijske imovine planiraju se u iznosu od 7.875.600 eura. Obuhvaćaju naknade za eksploataciju mineralnih sirovina, naknade za korištenje prostora elektrana, spomeničku rentu, naknadu o pravu puta za elektroničku komunikacijsku infrastrukturu, naknadu za pravo lova i naknadu za promjenu namjene poljoprivrednog zemljišta. </w:t>
      </w:r>
    </w:p>
    <w:p w14:paraId="1881A009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FE53FED" w14:textId="77777777" w:rsidR="00A80AAA" w:rsidRPr="009D6409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Naknade za ceste planiraju se u iznosu od 36.940.000 eura. Najveći dio čini godišnja naknada za uporabu javnih cesta što se plaća pri registraciji motornih i priključnih vozila. Ti se prihodi planiraju na </w:t>
      </w:r>
      <w:r w:rsidRPr="009D6409">
        <w:rPr>
          <w:rFonts w:ascii="Arial" w:eastAsia="Times New Roman" w:hAnsi="Arial" w:cs="Arial"/>
          <w:sz w:val="20"/>
          <w:szCs w:val="20"/>
          <w:lang w:eastAsia="hr-HR"/>
        </w:rPr>
        <w:lastRenderedPageBreak/>
        <w:t>temelju Zakona o cestama i Pravilnika o visini godišnje naknade za uporabu javnih cesta što se plaća pri registraciji motornih i priključnih vozila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9D6409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58D24BF3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6B895DA" w14:textId="77777777" w:rsidR="00A80AAA" w:rsidRPr="00F73153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3153">
        <w:rPr>
          <w:rFonts w:ascii="Arial" w:eastAsia="Times New Roman" w:hAnsi="Arial" w:cs="Arial"/>
          <w:sz w:val="20"/>
          <w:szCs w:val="20"/>
          <w:lang w:eastAsia="hr-HR"/>
        </w:rPr>
        <w:t xml:space="preserve">Ostale prihode od nefinancijske imovine čini naknada za zadržavanje nezakonito izgrađene zgrade u prostoru, a planira se u iznosu od 120.000 eura. </w:t>
      </w:r>
    </w:p>
    <w:p w14:paraId="4259873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FA60E17" w14:textId="77777777" w:rsidR="00A80AAA" w:rsidRPr="00F73153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3153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upravnih i administrativnih pristojbi, pristojbi po posebnim propisima i naknada</w:t>
      </w:r>
      <w:r w:rsidRPr="00F73153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154.760.000 eura. </w:t>
      </w:r>
    </w:p>
    <w:p w14:paraId="20778DE1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58ABE97" w14:textId="77777777" w:rsidR="00A80AAA" w:rsidRPr="00F73153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3153">
        <w:rPr>
          <w:rFonts w:ascii="Arial" w:eastAsia="Times New Roman" w:hAnsi="Arial" w:cs="Arial"/>
          <w:i/>
          <w:sz w:val="20"/>
          <w:szCs w:val="20"/>
          <w:lang w:eastAsia="hr-HR"/>
        </w:rPr>
        <w:t>Upravne i administrativne pristojbe</w:t>
      </w:r>
      <w:r w:rsidRPr="00F73153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2.800.000 eura i obuhvaćaju županijske, gradske i općinske pristojbe i naknade te ostale pristojbe i naknade. Od pristojbi i biljega planira se ostvariti 2.055.000 eura dok se iznos od 745.000 eura planira ostvariti od turističke pristojbe.</w:t>
      </w:r>
    </w:p>
    <w:p w14:paraId="56BE7621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3C6B092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i/>
          <w:sz w:val="20"/>
          <w:szCs w:val="20"/>
          <w:lang w:eastAsia="hr-HR"/>
        </w:rPr>
        <w:t>Prihodi po posebnim propisima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3.960.000 eura i obuhvaćaju vodni doprinos, doprinose za šume, ostale nespomenute prihode i naknade od financijske imovine.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Značajniji prihodi u okviru ove podskupine odnose se na o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>stal</w:t>
      </w:r>
      <w:r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nespomenut</w:t>
      </w:r>
      <w:r>
        <w:rPr>
          <w:rFonts w:ascii="Arial" w:eastAsia="Times New Roman" w:hAnsi="Arial" w:cs="Arial"/>
          <w:sz w:val="20"/>
          <w:szCs w:val="20"/>
          <w:lang w:eastAsia="hr-HR"/>
        </w:rPr>
        <w:t>e prihode koji se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planiraju u visini od 3.500.000 eura, a čine ih prihodi od sufinanciranja za obnovu zgrada koju plaćaju vlasnici stanova pri obnovi zgrada iz sredstava spomeničke rente te prihodi od sufinanciranja obnove pročelja višestambenih zgrada.</w:t>
      </w:r>
    </w:p>
    <w:p w14:paraId="5870B00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61EA27C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sz w:val="20"/>
          <w:szCs w:val="20"/>
          <w:lang w:eastAsia="hr-HR"/>
        </w:rPr>
        <w:t>Naknade od financijske imovine planiraju se od naknada za izdana jamstva trgovačkim društvima Zagrebački holding d.o.o., Zagrebački električni tramvaj d.o.o. i Vodoopskrba i odvodnja d.o.o. u visini od 350.000 eura.</w:t>
      </w:r>
    </w:p>
    <w:p w14:paraId="104C5EFE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CE4F822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i/>
          <w:sz w:val="20"/>
          <w:szCs w:val="20"/>
          <w:lang w:eastAsia="hr-HR"/>
        </w:rPr>
        <w:t>Komunalni doprinosi i naknade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14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E02281">
        <w:rPr>
          <w:rFonts w:ascii="Arial" w:eastAsia="Times New Roman" w:hAnsi="Arial" w:cs="Arial"/>
          <w:sz w:val="20"/>
          <w:szCs w:val="20"/>
          <w:lang w:eastAsia="hr-HR"/>
        </w:rPr>
        <w:t xml:space="preserve">.000.000 eura. </w:t>
      </w:r>
    </w:p>
    <w:p w14:paraId="57102397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323FA2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sz w:val="20"/>
          <w:szCs w:val="20"/>
          <w:lang w:eastAsia="hr-HR"/>
        </w:rPr>
        <w:t>Komunalni doprinos planiran je u iznosu od 38.000.000 eura sukladno Odluci o komunalnom doprinosu. Sredstva komunalnog doprinosa namijenjena su financiranju gradnje objekata i uređaja komunalne infrastrukture: javnih površina, nerazvrstanih cesta, groblja i krematorija te javne rasvjete.</w:t>
      </w:r>
    </w:p>
    <w:p w14:paraId="1FBFF349" w14:textId="77777777" w:rsidR="00A80AAA" w:rsidRPr="00E02281" w:rsidRDefault="00A80AAA" w:rsidP="00A80AA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1E4EB4C" w14:textId="77777777" w:rsidR="00A80AAA" w:rsidRPr="00E02281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02281">
        <w:rPr>
          <w:rFonts w:ascii="Arial" w:eastAsia="Times New Roman" w:hAnsi="Arial" w:cs="Arial"/>
          <w:sz w:val="20"/>
          <w:szCs w:val="20"/>
          <w:lang w:eastAsia="hr-HR"/>
        </w:rPr>
        <w:t>Komunalna naknada planira se u iznosu od 110.000.000 eura. Pitanje utvrđivanja, obračuna i naplate komunalne naknade uređeno je Odlukom o komunalnoj naknadi i Odlukom o vrijednosti boda komunalne naknade. Sredstva komunalne naknade najvećim dijelom se raspoređuju za provođenje programa radova na održavanju komunalne infrastrukture.</w:t>
      </w:r>
    </w:p>
    <w:p w14:paraId="662389CA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C69F9A6" w14:textId="77777777" w:rsidR="00A80AAA" w:rsidRPr="00867517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 w:rsidRPr="00867517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prodaje proizvoda i robe te pruženih usluga, prihodi od donacija te povrati po protestiranim jamstvima</w:t>
      </w: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145.400 eura, a odnose se na donacij</w:t>
      </w:r>
      <w:r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zaklade Bloomberg te prihode od prodaje viška električne energije.</w:t>
      </w:r>
    </w:p>
    <w:p w14:paraId="089B4B65" w14:textId="77777777" w:rsidR="00A80AAA" w:rsidRPr="00867517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48A81F5B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bCs/>
          <w:sz w:val="20"/>
          <w:szCs w:val="20"/>
          <w:u w:val="single"/>
          <w:lang w:eastAsia="hr-HR"/>
        </w:rPr>
        <w:t>Kazne, upravne mjere i ostali prihodi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14.627.360 eura i čine ih kazne i ostali prihodi koji obuhvaćaju naknade režijskih troškova vanjskih korisnika, naknade troškova postupka, povrate u proračun te druge manje prihode koji se ne planiraju posebno. </w:t>
      </w:r>
    </w:p>
    <w:p w14:paraId="74C7D2B4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0EB2BC4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8FAD917" w14:textId="77777777" w:rsidR="00A80AAA" w:rsidRPr="00F352B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352B8">
        <w:rPr>
          <w:rFonts w:ascii="Arial" w:eastAsia="Times New Roman" w:hAnsi="Arial" w:cs="Arial"/>
          <w:b/>
          <w:sz w:val="20"/>
          <w:szCs w:val="20"/>
          <w:lang w:eastAsia="hr-HR"/>
        </w:rPr>
        <w:t>PRIHODI OD PRODAJE NEFINANCIJSKE IMOVINE</w:t>
      </w:r>
    </w:p>
    <w:p w14:paraId="5A672DDB" w14:textId="77777777" w:rsidR="00A80AAA" w:rsidRPr="00F352B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35716FB" w14:textId="77777777" w:rsidR="00A80AAA" w:rsidRPr="00F352B8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352B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Prihodi od prodaje nefinancijske imovine</w:t>
      </w:r>
      <w:r w:rsidRPr="00F352B8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11.210.000 eura. U strukturi prihoda i primitaka čine 0,49 %. Obuhvaćaju prihode od prodaje neproizvedene i proizvedene dugotrajne imovine.</w:t>
      </w:r>
    </w:p>
    <w:p w14:paraId="7F196EA6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0DB6E3D9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prodaje neproizvedene dugotrajne imovine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3.550.000 eura, a obuhvaćaju prihode od prodaje materijalne imovine – prirodnih bogatstava i prihode od prodaje nematerijalne imovine. </w:t>
      </w:r>
    </w:p>
    <w:p w14:paraId="3C4FB3F4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8B7735A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42AFE">
        <w:rPr>
          <w:rFonts w:ascii="Arial" w:eastAsia="Times New Roman" w:hAnsi="Arial" w:cs="Arial"/>
          <w:i/>
          <w:sz w:val="20"/>
          <w:szCs w:val="20"/>
          <w:lang w:eastAsia="hr-HR"/>
        </w:rPr>
        <w:t>Prihodi od prodaje materijalne imovine – prirodnih bogatstava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3.500.000 eura,</w:t>
      </w:r>
      <w:r w:rsidRPr="00442AFE">
        <w:rPr>
          <w:rFonts w:ascii="Arial" w:eastAsia="Times New Roman" w:hAnsi="Arial" w:cs="Arial"/>
          <w:sz w:val="20"/>
          <w:szCs w:val="20"/>
        </w:rPr>
        <w:t xml:space="preserve"> a odnose se na prodaju zemljišta putem natječaja, prodaju zemljišta radi formiran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ja parcela i na obročnu otplatu kupoprodajne cijene radi legalizacije objekata.</w:t>
      </w:r>
    </w:p>
    <w:p w14:paraId="10D12A20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i/>
          <w:sz w:val="20"/>
          <w:szCs w:val="20"/>
          <w:lang w:eastAsia="hr-HR"/>
        </w:rPr>
        <w:t>Prihodi od prodaje nematerijalne imovine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50.000 eura, a odnose se na prihode prema ugovorima o pravu građenja.</w:t>
      </w:r>
    </w:p>
    <w:p w14:paraId="4349CCB7" w14:textId="77777777" w:rsidR="00A80AAA" w:rsidRPr="00973266" w:rsidRDefault="00A80AAA" w:rsidP="00A80AA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13F6013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u w:val="single"/>
          <w:lang w:eastAsia="hr-HR"/>
        </w:rPr>
        <w:t>Prihodi od prodaje proizvedene dugotrajne imovine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7.660.000 eura, a odnose se na prihode od prodaje građevinskih objekata.</w:t>
      </w:r>
    </w:p>
    <w:p w14:paraId="77557956" w14:textId="77777777" w:rsidR="00A80AAA" w:rsidRPr="00442AFE" w:rsidRDefault="00A80AAA" w:rsidP="00A80A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51CE08A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i/>
          <w:sz w:val="20"/>
          <w:szCs w:val="20"/>
          <w:lang w:eastAsia="hr-HR"/>
        </w:rPr>
        <w:lastRenderedPageBreak/>
        <w:t>Prihodi od prodaje građevinskih objekata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obuhvaćaju prihode od prodaje stambenih objekata i prihode od prodaje poslovnih objekata.</w:t>
      </w:r>
    </w:p>
    <w:p w14:paraId="5FDEDCBB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3C6E088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lang w:eastAsia="hr-HR"/>
        </w:rPr>
        <w:t>Prihodi od prodaje stambenih objekata planiraju se u iznosu od 4.160.000 eura, a obuhvaćaju prihode od prodaje stanova u vlasništvu Grada, prihode od prodaje POS stanova odnosno doznake Agencije za pravni promet i posredovanje nekretninama, prihode od prodaje stanova na kojima postoji stanarsko pravo te prihode od prodaje nadstojničkih stanova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7FA078C6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Prihodi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 od prodaje stanova na kojima postoji stanarsko pravo planiraju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se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sukladno Zakonu o prodaji stanova na kojima postoji stanarsko pravo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, a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 xml:space="preserve">ostvaruju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se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uglavnom od obročne otplate stanova,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dok se sredstva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koriste za pribavljanje stanova za socijalne potrebe građana Grada Zagreba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. Prihodi od prodaje nadstojničkih stanova planiraju se </w:t>
      </w:r>
      <w:r w:rsidRPr="00442AFE">
        <w:rPr>
          <w:rFonts w:ascii="Arial" w:eastAsia="Times New Roman" w:hAnsi="Arial" w:cs="Arial"/>
          <w:sz w:val="20"/>
          <w:szCs w:val="20"/>
          <w:lang w:eastAsia="hr-HR"/>
        </w:rPr>
        <w:t>sukladno Zakonu o prodaji stanova namijenjenih za nadstojnika stambene zgrade.</w:t>
      </w:r>
    </w:p>
    <w:p w14:paraId="4A464D0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606AECA" w14:textId="77777777" w:rsidR="00A80AAA" w:rsidRPr="00442AFE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442AFE">
        <w:rPr>
          <w:rFonts w:ascii="Arial" w:eastAsia="Times New Roman" w:hAnsi="Arial" w:cs="Arial"/>
          <w:sz w:val="20"/>
          <w:szCs w:val="20"/>
          <w:lang w:eastAsia="hr-HR"/>
        </w:rPr>
        <w:t>Prihodi od prodaje poslovnih objekata planiraju se u iznosu od 3.500.000 eura i odnose se na prihod</w:t>
      </w:r>
      <w:r>
        <w:rPr>
          <w:rFonts w:ascii="Arial" w:eastAsia="Times New Roman" w:hAnsi="Arial" w:cs="Arial"/>
          <w:sz w:val="20"/>
          <w:szCs w:val="20"/>
          <w:lang w:eastAsia="hr-HR"/>
        </w:rPr>
        <w:t>e od prodaje poslovnih prostora te</w:t>
      </w:r>
      <w:r w:rsidRPr="00867517">
        <w:rPr>
          <w:rFonts w:ascii="Arial" w:eastAsia="Times New Roman" w:hAnsi="Arial" w:cs="Arial"/>
          <w:sz w:val="20"/>
          <w:szCs w:val="20"/>
          <w:lang w:eastAsia="hr-HR"/>
        </w:rPr>
        <w:t xml:space="preserve"> garaža i garažnih mjesta.</w:t>
      </w:r>
    </w:p>
    <w:p w14:paraId="496C1E4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3D33C2D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9B859C5" w14:textId="77777777" w:rsidR="00A80AAA" w:rsidRPr="00F8609F" w:rsidRDefault="00A80AAA" w:rsidP="00A80A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8609F">
        <w:rPr>
          <w:rFonts w:ascii="Arial" w:eastAsia="Times New Roman" w:hAnsi="Arial" w:cs="Arial"/>
          <w:b/>
          <w:sz w:val="20"/>
          <w:szCs w:val="20"/>
          <w:lang w:eastAsia="hr-HR"/>
        </w:rPr>
        <w:t>PRIMICI OD FINANCIJSKE IMOVINE I ZADUŽIVANJA</w:t>
      </w:r>
    </w:p>
    <w:p w14:paraId="6058C916" w14:textId="77777777" w:rsidR="00A80AAA" w:rsidRPr="00F8609F" w:rsidRDefault="00A80AAA" w:rsidP="00A80AAA">
      <w:pPr>
        <w:spacing w:after="0" w:line="240" w:lineRule="auto"/>
        <w:ind w:left="1140"/>
        <w:rPr>
          <w:rFonts w:ascii="Arial" w:eastAsia="Times New Roman" w:hAnsi="Arial" w:cs="Arial"/>
          <w:lang w:eastAsia="hr-HR"/>
        </w:rPr>
      </w:pPr>
    </w:p>
    <w:p w14:paraId="492727C2" w14:textId="77777777" w:rsidR="00A80AAA" w:rsidRPr="00F8609F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09F">
        <w:rPr>
          <w:rFonts w:ascii="Arial" w:eastAsia="Times New Roman" w:hAnsi="Arial" w:cs="Arial"/>
          <w:sz w:val="20"/>
          <w:szCs w:val="20"/>
          <w:lang w:eastAsia="hr-HR"/>
        </w:rPr>
        <w:t>Ukupni primici od financijske imovine i zaduživanja te ukupni izdaci za financijsku imovinu i otplate zajmova iskazani su u računu financiranja.</w:t>
      </w:r>
    </w:p>
    <w:p w14:paraId="7E2D245A" w14:textId="77777777" w:rsidR="00A80AAA" w:rsidRPr="00F8609F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4D87999" w14:textId="77777777" w:rsidR="00A80AA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09F">
        <w:rPr>
          <w:rFonts w:ascii="Arial" w:eastAsia="Times New Roman" w:hAnsi="Arial" w:cs="Arial"/>
          <w:b/>
          <w:sz w:val="20"/>
          <w:szCs w:val="20"/>
          <w:lang w:eastAsia="hr-HR"/>
        </w:rPr>
        <w:t>Primici od financijske imovine i zaduživanja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iznosu od 201.519.600 eura, a u strukturi prihoda i primitaka čine 8,8</w:t>
      </w:r>
      <w:r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 xml:space="preserve"> %, od čega su najznačajniji </w:t>
      </w:r>
      <w:r w:rsidRPr="00B67597">
        <w:rPr>
          <w:rFonts w:ascii="Arial" w:eastAsia="Times New Roman" w:hAnsi="Arial" w:cs="Arial"/>
          <w:sz w:val="20"/>
          <w:szCs w:val="20"/>
          <w:lang w:eastAsia="hr-HR"/>
        </w:rPr>
        <w:t>primici od zaduživanja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 xml:space="preserve"> u iznosu od 191.499.000 eura. Od navedenog iznosa, </w:t>
      </w:r>
      <w:r w:rsidRPr="00B67597">
        <w:rPr>
          <w:rFonts w:ascii="Arial" w:eastAsia="Times New Roman" w:hAnsi="Arial" w:cs="Arial"/>
          <w:sz w:val="20"/>
          <w:szCs w:val="20"/>
          <w:lang w:eastAsia="hr-HR"/>
        </w:rPr>
        <w:t>99.524.000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eura se odnosi na povlačenje treće tranše </w:t>
      </w:r>
      <w:r w:rsidRPr="00C6345A">
        <w:rPr>
          <w:rFonts w:ascii="Arial" w:eastAsia="Times New Roman" w:hAnsi="Arial" w:cs="Arial"/>
          <w:sz w:val="20"/>
          <w:szCs w:val="20"/>
          <w:lang w:eastAsia="hr-HR"/>
        </w:rPr>
        <w:t xml:space="preserve">s osnove sklopljenog kredita kod Europske investicijske banke, čime bi se u cijelosti iskoristio ugovoreni iznos od 206.910.000 eura iz 2024. </w:t>
      </w:r>
      <w:r>
        <w:rPr>
          <w:rFonts w:ascii="Arial" w:eastAsia="Times New Roman" w:hAnsi="Arial" w:cs="Arial"/>
          <w:sz w:val="20"/>
          <w:szCs w:val="20"/>
          <w:lang w:eastAsia="hr-HR"/>
        </w:rPr>
        <w:t>Isto tako,</w:t>
      </w:r>
      <w:r w:rsidRPr="00B67597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planirano je povlačenje prve tranše u iznosu od </w:t>
      </w:r>
      <w:r w:rsidRPr="00C6345A">
        <w:rPr>
          <w:rFonts w:ascii="Arial" w:eastAsia="Times New Roman" w:hAnsi="Arial" w:cs="Arial"/>
          <w:sz w:val="20"/>
          <w:szCs w:val="20"/>
          <w:lang w:eastAsia="hr-HR"/>
        </w:rPr>
        <w:t xml:space="preserve">53.975.000 eura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od planiranog novog zaduženja kod Europske investicijske banke u iznosu 188.090.000 eura. </w:t>
      </w:r>
      <w:r w:rsidRPr="00F8609F">
        <w:rPr>
          <w:rFonts w:ascii="Arial" w:eastAsia="Times New Roman" w:hAnsi="Arial" w:cs="Arial"/>
          <w:sz w:val="20"/>
          <w:szCs w:val="20"/>
          <w:lang w:eastAsia="hr-HR"/>
        </w:rPr>
        <w:t>Preostali iznos od 38.000.000 eura se odnosi na prodaju potraživanja Zagrebačkih otpadnih voda d.o.o.</w:t>
      </w:r>
    </w:p>
    <w:p w14:paraId="1FBDA173" w14:textId="583AF4ED" w:rsidR="00A80AAA" w:rsidRPr="00F8609F" w:rsidRDefault="00833BC8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Primici od povrata glavnice zajmova danih trgovačkim društvima u iznosu od 10.000.000 eura odnose se na povrat pozajmice Zagrebačkom električnom tramvaju d.o.o. za predfinanciranje nabave novih tramvaja iz EU sredstava.</w:t>
      </w:r>
    </w:p>
    <w:p w14:paraId="48E77B7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3785107" w14:textId="77777777" w:rsidR="00A80AAA" w:rsidRPr="00112D8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  <w:r w:rsidRPr="00112D8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Vlastiti i namjenski prihodi i primici proračunskih korisnika </w:t>
      </w:r>
      <w:r w:rsidRPr="00112D8A">
        <w:rPr>
          <w:rFonts w:ascii="Arial" w:eastAsia="Times New Roman" w:hAnsi="Arial" w:cs="Arial"/>
          <w:bCs/>
          <w:sz w:val="20"/>
          <w:szCs w:val="20"/>
          <w:lang w:eastAsia="hr-HR"/>
        </w:rPr>
        <w:t>uključujući višak iz prethodnog razdoblja planiraju se u iznosu od 871.975.030 eura</w:t>
      </w:r>
      <w:r>
        <w:rPr>
          <w:rFonts w:ascii="Arial" w:eastAsia="Times New Roman" w:hAnsi="Arial" w:cs="Arial"/>
          <w:bCs/>
          <w:sz w:val="20"/>
          <w:szCs w:val="20"/>
          <w:lang w:eastAsia="hr-HR"/>
        </w:rPr>
        <w:t>.</w:t>
      </w:r>
      <w:r w:rsidRPr="00112D8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</w:p>
    <w:p w14:paraId="69C980B6" w14:textId="77777777" w:rsidR="00A80AAA" w:rsidRPr="00112D8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725BBA07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112D8A">
        <w:rPr>
          <w:rFonts w:ascii="Arial" w:eastAsia="Times New Roman" w:hAnsi="Arial" w:cs="Arial"/>
          <w:sz w:val="20"/>
          <w:szCs w:val="20"/>
          <w:lang w:eastAsia="hr-HR"/>
        </w:rPr>
        <w:t>Vlastiti i namjenski prihodi proračunskih korisnika planiraju se u proračunu, ali nisu dio novčanog tijeka te korisnici i nadalje na svojim računima ostvaruju te prihode i sa svojih računa podmiruju obveze/rashode koji se financiraju iz ovih izvora</w:t>
      </w:r>
      <w:r w:rsidRPr="00973266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. </w:t>
      </w:r>
    </w:p>
    <w:p w14:paraId="43FC9EAC" w14:textId="77777777" w:rsidR="00A80AAA" w:rsidRPr="00973266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D5FF756" w14:textId="77777777" w:rsidR="00A80AAA" w:rsidRPr="00112D8A" w:rsidRDefault="00A80AAA" w:rsidP="00A80A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112D8A">
        <w:rPr>
          <w:rFonts w:ascii="Arial" w:eastAsia="Times New Roman" w:hAnsi="Arial" w:cs="Arial"/>
          <w:sz w:val="20"/>
          <w:szCs w:val="20"/>
          <w:lang w:eastAsia="hr-HR"/>
        </w:rPr>
        <w:t>Najznačajnije stavke prihoda kod proračunskih korisnika čine sredstva od pomoći koju korisnici ostvaruju iz državnog proračuna u iznosu od 435.583.270 eura, prihodi od HZZO-a na temelju ugovornih obveza u iznosu od 234.428.500 eura, prihodi po posebnim propisima (sufinanciranje cijene predškolskog odgoja, ulaznice za kazališta i muzeje, sufinanciranje cijene obroka u školama itd.) u iznosu od 74.510.580 eura, pomoći temeljem prijenosa EU sredstava u iznosu od 53.114.570 eura, te prihodi od prodaje proizvoda i pruženih usluga proračunskih korisnika u iznosu od 44.432.930 eura.</w:t>
      </w:r>
    </w:p>
    <w:p w14:paraId="75A089B0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ACF10E9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4C88ABE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7C7F7B87" w14:textId="77777777" w:rsidR="00A80AAA" w:rsidRPr="00973266" w:rsidRDefault="00A80AAA" w:rsidP="00A80AAA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4470F19" w14:textId="77777777" w:rsidR="004A7974" w:rsidRPr="003B3DB5" w:rsidRDefault="004A7974" w:rsidP="004A7974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5937AA5A" w14:textId="478F251F" w:rsidR="004F7380" w:rsidRPr="003B3DB5" w:rsidRDefault="004F7380">
      <w:pPr>
        <w:spacing w:after="160" w:line="259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A74A11B" w14:textId="2AEE3ECF" w:rsidR="00C47484" w:rsidRPr="003B3DB5" w:rsidRDefault="00C47484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0EC499E" w14:textId="53D0F1A3" w:rsidR="00795B93" w:rsidRPr="003B3DB5" w:rsidRDefault="00795B93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034E79FE" w14:textId="77777777" w:rsidR="004E2F15" w:rsidRPr="003B3DB5" w:rsidRDefault="004E2F15">
      <w:pPr>
        <w:spacing w:after="160" w:line="259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3B3DB5"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  <w:br w:type="page"/>
      </w:r>
    </w:p>
    <w:p w14:paraId="766E7D7C" w14:textId="6C07D39F" w:rsidR="00EE5044" w:rsidRPr="00F7648B" w:rsidRDefault="00EE5044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RASHODI I IZDACI</w:t>
      </w:r>
    </w:p>
    <w:p w14:paraId="5F4562D5" w14:textId="77777777" w:rsidR="00EE5044" w:rsidRPr="00F7648B" w:rsidRDefault="00EE5044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F9953C" w14:textId="68D311BF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i izdaci Proračuna Grada Zagreba za 202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DC1B0B" w:rsidRPr="00F7648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51782E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uključujući planirano pokriće manjka iz prethodnog razdoblja</w:t>
      </w:r>
      <w:r w:rsidR="00DC1B0B" w:rsidRPr="00F7648B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planiraju se u ukupnom iznosu od </w:t>
      </w:r>
      <w:r w:rsidR="00F7648B"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3.154.953.380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75244" w:rsidRPr="00F7648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račune proračunskih korisnika odnosi </w:t>
      </w:r>
      <w:r w:rsidR="00F7648B"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871.975.030</w:t>
      </w:r>
      <w:r w:rsidR="00E85A5A"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75244" w:rsidRPr="00F7648B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569B8CDB" w14:textId="77777777" w:rsidR="00BA63D0" w:rsidRPr="006767D7" w:rsidRDefault="00BA63D0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8AF489D" w14:textId="216A8BB5" w:rsidR="00615913" w:rsidRDefault="00BA63D0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>RASHODI / IZDACI / POKRIĆE MANJKA</w:t>
      </w:r>
      <w:r w:rsidR="00246059"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B10CB1"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>–</w:t>
      </w:r>
      <w:r w:rsidR="00246059" w:rsidRPr="006767D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UKUPNO</w:t>
      </w:r>
    </w:p>
    <w:p w14:paraId="1019434A" w14:textId="4794E840" w:rsidR="00615913" w:rsidRDefault="00615913" w:rsidP="00BA63D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5913">
        <w:rPr>
          <w:noProof/>
          <w:lang w:eastAsia="hr-HR"/>
        </w:rPr>
        <w:drawing>
          <wp:inline distT="0" distB="0" distL="0" distR="0" wp14:anchorId="52AD4000" wp14:editId="7E5CE9BA">
            <wp:extent cx="5758815" cy="827054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008" cy="830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8A68" w14:textId="33A05B65" w:rsidR="00B10CB1" w:rsidRDefault="001F2E6E" w:rsidP="00BA63D0">
      <w:pPr>
        <w:spacing w:after="0" w:line="240" w:lineRule="auto"/>
        <w:jc w:val="center"/>
      </w:pPr>
      <w:r w:rsidRPr="001F2E6E">
        <w:rPr>
          <w:noProof/>
          <w:lang w:eastAsia="hr-HR"/>
        </w:rPr>
        <w:lastRenderedPageBreak/>
        <w:drawing>
          <wp:inline distT="0" distB="0" distL="0" distR="0" wp14:anchorId="6E2AC77E" wp14:editId="5B2E249D">
            <wp:extent cx="5759450" cy="921194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445" cy="92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2FEB" w14:textId="5BDE09C5" w:rsidR="00DE5CE6" w:rsidRPr="003B3DB5" w:rsidRDefault="00FD2AD6" w:rsidP="00BA63D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4"/>
          <w:szCs w:val="14"/>
          <w:lang w:eastAsia="hr-HR"/>
        </w:rPr>
      </w:pP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</w:p>
    <w:p w14:paraId="34E09172" w14:textId="5C26CE66" w:rsidR="00395E6C" w:rsidRPr="00262107" w:rsidRDefault="00DE5CE6" w:rsidP="00D300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262107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R</w:t>
      </w:r>
      <w:r w:rsidR="00FB3F00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ASHODI </w:t>
      </w:r>
      <w:r w:rsidR="00360118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>/</w:t>
      </w:r>
      <w:r w:rsidR="00FB3F00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IZDACI</w:t>
      </w:r>
      <w:r w:rsidR="00360118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FB3F00" w:rsidRPr="00262107">
        <w:rPr>
          <w:rFonts w:ascii="Arial" w:eastAsia="Times New Roman" w:hAnsi="Arial" w:cs="Arial"/>
          <w:b/>
          <w:sz w:val="20"/>
          <w:szCs w:val="20"/>
          <w:lang w:eastAsia="hr-HR"/>
        </w:rPr>
        <w:t>– GRAD ZAGREB</w:t>
      </w:r>
    </w:p>
    <w:p w14:paraId="57C911D8" w14:textId="57BE6FCC" w:rsidR="00262107" w:rsidRDefault="00262107" w:rsidP="00D300E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FD3C744" w14:textId="27F47827" w:rsidR="00262107" w:rsidRPr="003B3DB5" w:rsidRDefault="00F940CD" w:rsidP="00D300E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noProof/>
          <w:color w:val="FF0000"/>
          <w:sz w:val="20"/>
          <w:szCs w:val="20"/>
          <w:lang w:eastAsia="hr-HR"/>
        </w:rPr>
        <w:drawing>
          <wp:inline distT="0" distB="0" distL="0" distR="0" wp14:anchorId="3A935DD7" wp14:editId="2DDC24A5">
            <wp:extent cx="5761091" cy="7983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02" cy="798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8A10D" w14:textId="627BEC6E" w:rsidR="00C0286B" w:rsidRPr="003B3DB5" w:rsidRDefault="002A77E1" w:rsidP="002A77E1">
      <w:pPr>
        <w:spacing w:after="0" w:line="240" w:lineRule="auto"/>
        <w:ind w:left="8496"/>
        <w:jc w:val="center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3B3DB5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 xml:space="preserve">           </w:t>
      </w:r>
    </w:p>
    <w:p w14:paraId="0EBCB1EA" w14:textId="4F5367F8" w:rsidR="00C0286B" w:rsidRPr="003B3DB5" w:rsidRDefault="00C0286B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ED57AC7" w14:textId="77777777" w:rsidR="00B10CB1" w:rsidRPr="003B3DB5" w:rsidRDefault="00B10CB1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8021DD8" w14:textId="718B8050" w:rsidR="00FB3F00" w:rsidRPr="003B3DB5" w:rsidRDefault="00FB3F00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90197CD" w14:textId="18C1CD95" w:rsidR="00360118" w:rsidRPr="003B3DB5" w:rsidRDefault="00F940CD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  <w:r w:rsidRPr="00F940CD">
        <w:rPr>
          <w:noProof/>
          <w:lang w:eastAsia="hr-HR"/>
        </w:rPr>
        <w:lastRenderedPageBreak/>
        <w:drawing>
          <wp:inline distT="0" distB="0" distL="0" distR="0" wp14:anchorId="62B1BAEF" wp14:editId="386CCC1C">
            <wp:extent cx="5760085" cy="84479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44" cy="845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04C5" w14:textId="77777777" w:rsidR="004A0BFF" w:rsidRPr="003B3DB5" w:rsidRDefault="004A0BFF" w:rsidP="002A77E1">
      <w:pPr>
        <w:spacing w:after="0" w:line="240" w:lineRule="auto"/>
        <w:ind w:left="8496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</w:p>
    <w:p w14:paraId="34E95235" w14:textId="0CAB2393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76038BB9" w14:textId="77777777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1143B8F" w14:textId="1CE17C63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03DA077" w14:textId="754770FE" w:rsidR="00360118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50C6B696" w14:textId="77777777" w:rsidR="001F2E6E" w:rsidRPr="003B3DB5" w:rsidRDefault="001F2E6E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57419B98" w14:textId="77777777" w:rsidR="00360118" w:rsidRPr="003B3DB5" w:rsidRDefault="00360118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</w:pPr>
    </w:p>
    <w:p w14:paraId="01FFC308" w14:textId="173F3E4D" w:rsidR="00FB3F00" w:rsidRPr="00A80AAA" w:rsidRDefault="00FB3F00" w:rsidP="00FB3F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A80AAA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 xml:space="preserve">RASHODI </w:t>
      </w:r>
      <w:r w:rsidR="00983BAC"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>/</w:t>
      </w:r>
      <w:r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IZDACI </w:t>
      </w:r>
      <w:r w:rsidR="00983BAC"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/ POKRIĆE MANJKA </w:t>
      </w:r>
      <w:r w:rsidRPr="00A80AAA">
        <w:rPr>
          <w:rFonts w:ascii="Arial" w:eastAsia="Times New Roman" w:hAnsi="Arial" w:cs="Arial"/>
          <w:b/>
          <w:sz w:val="20"/>
          <w:szCs w:val="20"/>
          <w:lang w:eastAsia="hr-HR"/>
        </w:rPr>
        <w:t>– PRORAČUNSKI KORISNICI</w:t>
      </w:r>
    </w:p>
    <w:p w14:paraId="3CDC461C" w14:textId="77777777" w:rsidR="002A77E1" w:rsidRPr="003B3DB5" w:rsidRDefault="002A77E1" w:rsidP="00FB3F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153105A" w14:textId="3AB057B9" w:rsidR="00983BAC" w:rsidRPr="003B3DB5" w:rsidRDefault="00262107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262107">
        <w:rPr>
          <w:noProof/>
          <w:lang w:eastAsia="hr-HR"/>
        </w:rPr>
        <w:drawing>
          <wp:inline distT="0" distB="0" distL="0" distR="0" wp14:anchorId="53AD5BB1" wp14:editId="280C6CF4">
            <wp:extent cx="5776547" cy="7980451"/>
            <wp:effectExtent l="0" t="0" r="0" b="190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6" cy="802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20EB" w14:textId="350E0357" w:rsidR="00983BAC" w:rsidRDefault="00983BAC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5A2E2B0" w14:textId="440173DA" w:rsidR="00262107" w:rsidRPr="003B3DB5" w:rsidRDefault="00262107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262107">
        <w:rPr>
          <w:noProof/>
          <w:lang w:eastAsia="hr-HR"/>
        </w:rPr>
        <w:lastRenderedPageBreak/>
        <w:drawing>
          <wp:inline distT="0" distB="0" distL="0" distR="0" wp14:anchorId="2FF63273" wp14:editId="3EF6C472">
            <wp:extent cx="5809615" cy="6781800"/>
            <wp:effectExtent l="0" t="0" r="635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982" cy="680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F15D1" w14:textId="6192A0EE" w:rsidR="002A77E1" w:rsidRPr="003B3DB5" w:rsidRDefault="002A77E1" w:rsidP="00FB3F0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hr-HR"/>
        </w:rPr>
      </w:pP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  <w:r w:rsidRPr="003B3DB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ab/>
      </w:r>
    </w:p>
    <w:p w14:paraId="3611694C" w14:textId="77777777" w:rsidR="00F303AE" w:rsidRDefault="00F303AE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672F46A" w14:textId="10DAD45B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i izdaci Proračuna Grada Zagreba za 202</w:t>
      </w:r>
      <w:r w:rsidR="00F7648B" w:rsidRPr="00F7648B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F7648B">
        <w:rPr>
          <w:rFonts w:ascii="Arial" w:eastAsia="Times New Roman" w:hAnsi="Arial" w:cs="Arial"/>
          <w:sz w:val="20"/>
          <w:szCs w:val="20"/>
          <w:lang w:eastAsia="hr-HR"/>
        </w:rPr>
        <w:t>. su:</w:t>
      </w:r>
    </w:p>
    <w:p w14:paraId="5DF19ADF" w14:textId="77777777" w:rsidR="00D73DA2" w:rsidRPr="00F7648B" w:rsidRDefault="00D73DA2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DB95EA" w14:textId="34373ABF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RASHODI POSLOVANJA</w:t>
      </w:r>
    </w:p>
    <w:p w14:paraId="59131091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zaposlene,</w:t>
      </w:r>
    </w:p>
    <w:p w14:paraId="4B6F6D5B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materijalni rashodi,</w:t>
      </w:r>
    </w:p>
    <w:p w14:paraId="0CC31E5E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financijski rashodi,</w:t>
      </w:r>
    </w:p>
    <w:p w14:paraId="3470BB9D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subvencije,</w:t>
      </w:r>
    </w:p>
    <w:p w14:paraId="63DA4A1A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pomoći dane u inozemstvo i unutar općeg proračuna,</w:t>
      </w:r>
    </w:p>
    <w:p w14:paraId="4859C001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naknade građanima i kućanstvima na temelju osiguranja i druge naknade,</w:t>
      </w:r>
    </w:p>
    <w:p w14:paraId="3627CA2B" w14:textId="34A5D94E" w:rsidR="00395E6C" w:rsidRPr="00F7648B" w:rsidRDefault="00FF0CAD" w:rsidP="00663492">
      <w:pPr>
        <w:numPr>
          <w:ilvl w:val="0"/>
          <w:numId w:val="5"/>
        </w:numPr>
        <w:spacing w:after="120" w:line="240" w:lineRule="auto"/>
        <w:ind w:left="1497" w:hanging="357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donacije, kazne, naknade šteta i kapitalne pomoći</w:t>
      </w:r>
      <w:r w:rsidR="00395E6C" w:rsidRPr="00F7648B">
        <w:rPr>
          <w:rFonts w:ascii="Arial" w:eastAsia="Times New Roman" w:hAnsi="Arial" w:cs="Arial"/>
          <w:sz w:val="20"/>
          <w:szCs w:val="20"/>
          <w:lang w:eastAsia="hr-HR"/>
        </w:rPr>
        <w:t>;</w:t>
      </w:r>
    </w:p>
    <w:p w14:paraId="68BF9A62" w14:textId="77777777" w:rsidR="00C47484" w:rsidRPr="00F7648B" w:rsidRDefault="00C47484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F83AB5D" w14:textId="19929046" w:rsidR="00395E6C" w:rsidRPr="00F7648B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RASHODI ZA NABAVU NEFINANCIJSKE IMOVINE</w:t>
      </w:r>
    </w:p>
    <w:p w14:paraId="26B58BC6" w14:textId="77777777" w:rsidR="00C47484" w:rsidRPr="00F7648B" w:rsidRDefault="00C47484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951DD28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nabavu neproizvedene dugotrajne imovine,</w:t>
      </w:r>
    </w:p>
    <w:p w14:paraId="049E4796" w14:textId="58A078DB" w:rsidR="00395E6C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nabavu proizvedene dugotrajne imovine,</w:t>
      </w:r>
    </w:p>
    <w:p w14:paraId="1F4947AC" w14:textId="51B03F11" w:rsidR="00B21F94" w:rsidRPr="00F7648B" w:rsidRDefault="00B21F94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lastRenderedPageBreak/>
        <w:t>rashodi za nabavu plemenitih metala i ostalih pohranjenih vrijednosti</w:t>
      </w:r>
    </w:p>
    <w:p w14:paraId="472D093A" w14:textId="77777777" w:rsidR="00395E6C" w:rsidRPr="00F7648B" w:rsidRDefault="00395E6C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rashodi za dodatna ulaganja na nefinancijskoj imovini;</w:t>
      </w:r>
    </w:p>
    <w:p w14:paraId="25C7D7B4" w14:textId="77777777" w:rsidR="00395E6C" w:rsidRPr="00F7648B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EAAE1DD" w14:textId="4F2A1E48" w:rsidR="00395E6C" w:rsidRPr="00F7648B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b/>
          <w:sz w:val="20"/>
          <w:szCs w:val="20"/>
          <w:lang w:eastAsia="hr-HR"/>
        </w:rPr>
        <w:t>IZDACI ZA FINANCIJSKU IMOVINU I OTPLATE  ZAJMOVA</w:t>
      </w:r>
    </w:p>
    <w:p w14:paraId="1DD88760" w14:textId="16CE31D6" w:rsidR="00FF0CAD" w:rsidRPr="00F7648B" w:rsidRDefault="00FF0CAD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4F52E7C" w14:textId="1B02DD0E" w:rsidR="00FF0CAD" w:rsidRPr="00F7648B" w:rsidRDefault="00FF0CAD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izdaci za dane zajmove i jamčevne pologe,</w:t>
      </w:r>
    </w:p>
    <w:p w14:paraId="57E70FDE" w14:textId="5C2F2856" w:rsidR="00DC1B0B" w:rsidRPr="00F7648B" w:rsidRDefault="00DC1B0B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izdaci za ulaganja u financijske instrumente – dionice i udjele u glavnici,</w:t>
      </w:r>
    </w:p>
    <w:p w14:paraId="22A455D0" w14:textId="486F7B70" w:rsidR="00FF0CAD" w:rsidRPr="00F7648B" w:rsidRDefault="00FF0CAD" w:rsidP="00663492">
      <w:pPr>
        <w:numPr>
          <w:ilvl w:val="0"/>
          <w:numId w:val="5"/>
        </w:numPr>
        <w:spacing w:after="0" w:line="240" w:lineRule="auto"/>
        <w:ind w:left="1497" w:hanging="35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izdaci za otplatu glavnice primljenih kredita i zajmova.</w:t>
      </w:r>
    </w:p>
    <w:p w14:paraId="4BF79E7A" w14:textId="77777777" w:rsidR="00D73DA2" w:rsidRPr="00F7648B" w:rsidRDefault="00D73DA2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8DE850" w14:textId="01022FFD" w:rsidR="00395E6C" w:rsidRPr="00F7648B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F7648B">
        <w:rPr>
          <w:rFonts w:ascii="Arial" w:eastAsia="Times New Roman" w:hAnsi="Arial" w:cs="Arial"/>
          <w:sz w:val="20"/>
          <w:szCs w:val="20"/>
          <w:lang w:eastAsia="hr-HR"/>
        </w:rPr>
        <w:t>U nastavku se daje obrazloženje rashoda i izdataka Proračuna Grada Zagreba.</w:t>
      </w:r>
    </w:p>
    <w:p w14:paraId="5816293E" w14:textId="77777777" w:rsidR="00395E6C" w:rsidRPr="003B3DB5" w:rsidRDefault="00395E6C" w:rsidP="00395E6C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A488A17" w14:textId="4934A2C2" w:rsidR="00395E6C" w:rsidRPr="00032AC2" w:rsidRDefault="001D1EF7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RASHODI POSLOVANJA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planirani su u iznosu od </w:t>
      </w:r>
      <w:r w:rsidR="00131B4C" w:rsidRPr="00032AC2">
        <w:rPr>
          <w:rFonts w:ascii="Arial" w:eastAsia="Times New Roman" w:hAnsi="Arial" w:cs="Arial"/>
          <w:sz w:val="20"/>
          <w:szCs w:val="20"/>
          <w:lang w:eastAsia="hr-HR"/>
        </w:rPr>
        <w:t>2.487.169.830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16806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rashode koji se financiraju iz vlastitih i namjenskih prihoda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proračunskih korisnika odnosi 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805.894.230</w:t>
      </w:r>
      <w:r w:rsidR="00143B5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85108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180FF1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, a na 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rashode koji se financiraju iz gradskih izvora odnosi</w:t>
      </w:r>
      <w:r w:rsidR="00180FF1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31B4C" w:rsidRPr="00032AC2">
        <w:rPr>
          <w:rFonts w:ascii="Arial" w:eastAsia="Times New Roman" w:hAnsi="Arial" w:cs="Arial"/>
          <w:sz w:val="20"/>
          <w:szCs w:val="20"/>
          <w:lang w:eastAsia="hr-HR"/>
        </w:rPr>
        <w:t>1.681.275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.600</w:t>
      </w:r>
      <w:r w:rsidR="00180FF1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="00425648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BE69335" w14:textId="77777777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9AF955A" w14:textId="524A607B" w:rsidR="00B659C9" w:rsidRPr="00032AC2" w:rsidRDefault="00395E6C" w:rsidP="00B076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Rashodi za zaposlene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pl</w:t>
      </w:r>
      <w:r w:rsidR="0042564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anirani su u ukupnom iznosu od </w:t>
      </w:r>
      <w:r w:rsidR="00D425E9" w:rsidRPr="00032AC2">
        <w:rPr>
          <w:rFonts w:ascii="Arial" w:eastAsia="Times New Roman" w:hAnsi="Arial" w:cs="Arial"/>
          <w:sz w:val="20"/>
          <w:szCs w:val="20"/>
          <w:lang w:eastAsia="hr-HR"/>
        </w:rPr>
        <w:t>1.187.093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.760</w:t>
      </w:r>
      <w:r w:rsidR="00143B5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85108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891B6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D425E9" w:rsidRPr="00032AC2">
        <w:rPr>
          <w:rFonts w:ascii="Arial" w:eastAsia="Times New Roman" w:hAnsi="Arial" w:cs="Arial"/>
          <w:sz w:val="20"/>
          <w:szCs w:val="20"/>
          <w:lang w:eastAsia="hr-HR"/>
        </w:rPr>
        <w:t>524.766.110</w:t>
      </w:r>
      <w:r w:rsidR="0076615A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eura odnosi na plaće 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zaposlenih kojima se sredstva za plaće osiguravaju iz gradskih izvora (zaposlenike u ustanovama predškolskog odgoja, osnovnog školstva 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- 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>produženi boravak, kulture, zdravstva i socijalne zaštite, zaposlenike ustanove Upravljanje sportskim objektima, Zavoda za prostorno uređenje Grada Zagreba, Razvojne agencije Zagreb za koordinaciju i poticanje regionalnog razvoja, Ustanove za sveobuhvatnu skrb o hrvatskim braniteljima, Javne vatrogasne postrojbe Grada Zagr</w:t>
      </w:r>
      <w:r w:rsidR="008946CE" w:rsidRPr="00032AC2">
        <w:rPr>
          <w:rFonts w:ascii="Arial" w:eastAsia="Times New Roman" w:hAnsi="Arial" w:cs="Arial"/>
          <w:sz w:val="20"/>
          <w:szCs w:val="20"/>
          <w:lang w:eastAsia="hr-HR"/>
        </w:rPr>
        <w:t>eba, vijeća nacionalnih manjina te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ustanov</w:t>
      </w:r>
      <w:r w:rsidR="008946CE" w:rsidRPr="00032AC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Priroda Grada Zagreba </w:t>
      </w:r>
      <w:r w:rsidR="008946CE" w:rsidRPr="00032AC2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Zoološki vrt Grada Zagreba</w:t>
      </w:r>
      <w:r w:rsidR="003A54D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kao i djelatnike, vježbenike i dužnosnike gradske uprave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), a 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662.327.650</w:t>
      </w:r>
      <w:r w:rsidR="0008510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odnosi na plaće zaposlenih kod proračunskih korisnika kojima se sredstva </w:t>
      </w:r>
      <w:r w:rsidR="001A3A49" w:rsidRPr="00032AC2">
        <w:rPr>
          <w:rFonts w:ascii="Arial" w:eastAsia="Times New Roman" w:hAnsi="Arial" w:cs="Arial"/>
          <w:sz w:val="20"/>
          <w:szCs w:val="20"/>
          <w:lang w:eastAsia="hr-HR"/>
        </w:rPr>
        <w:t>osiguravaju iz vlastitih i namjenskih prihoda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. Od navedenog najveći dio </w:t>
      </w:r>
      <w:r w:rsidR="0042564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odnosi se na zaposlene u osnovnim i srednjim školama </w:t>
      </w:r>
      <w:r w:rsidR="0008510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te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na zaposlene u bolnicama i ostalim zdravstvenim ustanovama za koje se sredstva osiguravaju iz </w:t>
      </w:r>
      <w:r w:rsidR="0008510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državnog proračuna odnosno iz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HZZO-a.</w:t>
      </w:r>
      <w:r w:rsidR="00B0764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 odnosu na 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tekući plan za </w:t>
      </w:r>
      <w:r w:rsidR="00B0764D" w:rsidRPr="00032AC2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B0764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. rashodi za zaposlene 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su veći za 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6.4</w:t>
      </w:r>
      <w:r w:rsidR="00F8443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%.</w:t>
      </w:r>
    </w:p>
    <w:p w14:paraId="3A4A521F" w14:textId="15E68654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03D36BE" w14:textId="460AC67B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Materijalni rashodi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planirani su u ukupnom iznosu od </w:t>
      </w:r>
      <w:r w:rsidR="00C84C65" w:rsidRPr="00032AC2">
        <w:rPr>
          <w:rFonts w:ascii="Arial" w:eastAsia="Times New Roman" w:hAnsi="Arial" w:cs="Arial"/>
          <w:sz w:val="20"/>
          <w:szCs w:val="20"/>
          <w:lang w:eastAsia="hr-HR"/>
        </w:rPr>
        <w:t>718.980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.000</w:t>
      </w:r>
      <w:r w:rsidR="009E20D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</w:t>
      </w:r>
      <w:r w:rsidR="00180FF1" w:rsidRPr="00032AC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F7648B" w:rsidRPr="00032AC2">
        <w:rPr>
          <w:rFonts w:ascii="Arial" w:eastAsia="Times New Roman" w:hAnsi="Arial" w:cs="Arial"/>
          <w:sz w:val="20"/>
          <w:szCs w:val="20"/>
          <w:lang w:eastAsia="hr-HR"/>
        </w:rPr>
        <w:t>139.978.100</w:t>
      </w:r>
      <w:r w:rsidR="009E20D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</w:t>
      </w:r>
      <w:r w:rsidR="00180FF1" w:rsidRPr="00032AC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odnosi na materijalne rashode koji se financiraju iz vlastitih i namjenskih sredstava proračunskih korisnika</w:t>
      </w:r>
      <w:r w:rsidR="008A1CE7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a </w:t>
      </w:r>
      <w:r w:rsidR="00C84C65" w:rsidRPr="00032AC2">
        <w:rPr>
          <w:rFonts w:ascii="Arial" w:eastAsia="Times New Roman" w:hAnsi="Arial" w:cs="Arial"/>
          <w:sz w:val="20"/>
          <w:szCs w:val="20"/>
          <w:lang w:eastAsia="hr-HR"/>
        </w:rPr>
        <w:t>579.001.900</w:t>
      </w:r>
      <w:r w:rsidR="00F8443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E20DD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na materijalne rashode koji se financiraju iz proračunskih sredstava. Od materijalnih rashoda koji se financiraju iz proračunskih sredstava </w:t>
      </w:r>
      <w:r w:rsidR="00FC27AE" w:rsidRPr="00032AC2">
        <w:rPr>
          <w:rFonts w:ascii="Arial" w:eastAsia="Times New Roman" w:hAnsi="Arial" w:cs="Arial"/>
          <w:sz w:val="20"/>
          <w:szCs w:val="20"/>
          <w:lang w:eastAsia="hr-HR"/>
        </w:rPr>
        <w:t>najveći dio s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e odnosi na tekuće i investicijsko održavanje komunalne infrastrukture kao i objekata Grada</w:t>
      </w:r>
      <w:r w:rsidR="00A8768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za što se planiraju sredstva u iznosu od </w:t>
      </w:r>
      <w:r w:rsidR="00DA4EE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281.017.230 </w:t>
      </w:r>
      <w:r w:rsidR="00A8768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. Od materijalnih rashoda koji se financiraju iz vlastitih i namjenskih sredstava proračunskih korisnika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najveći dio u iznosu od 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53.899.980</w:t>
      </w:r>
      <w:r w:rsidR="00FC27A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8768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C2567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C27AE" w:rsidRPr="00032AC2">
        <w:rPr>
          <w:rFonts w:ascii="Arial" w:eastAsia="Times New Roman" w:hAnsi="Arial" w:cs="Arial"/>
          <w:sz w:val="20"/>
          <w:szCs w:val="20"/>
          <w:lang w:eastAsia="hr-HR"/>
        </w:rPr>
        <w:t>odnosi</w:t>
      </w:r>
      <w:r w:rsidR="00C2567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se</w:t>
      </w:r>
      <w:r w:rsidR="00FC27A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na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materijal i </w:t>
      </w:r>
      <w:r w:rsidR="00FC27A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energiju dok se 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17.184.100 eura odnosi na rashode za lijekove i potrošni medicinski materijal kod zdravstvenih ustanova, a 13.270.720</w:t>
      </w:r>
      <w:r w:rsidR="00FC27A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A8768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FC27A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na rashode za usluge tekućeg i investicijskog održavanja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5769FBCD" w14:textId="77777777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7EDCD14" w14:textId="01D2EE7A" w:rsidR="00395E6C" w:rsidRPr="00032AC2" w:rsidRDefault="00395E6C" w:rsidP="00395E6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Financijski rashodi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planirani su u ukupnom iznosu od 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9.556.860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91B6B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</w:t>
      </w:r>
      <w:r w:rsidR="00891B6B" w:rsidRPr="00032AC2">
        <w:rPr>
          <w:rFonts w:ascii="Arial" w:eastAsia="Times New Roman" w:hAnsi="Arial" w:cs="Arial"/>
          <w:sz w:val="20"/>
          <w:szCs w:val="20"/>
          <w:lang w:eastAsia="hr-HR"/>
        </w:rPr>
        <w:t>čega se na financijske rashode G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rada odnosi 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8.7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680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71841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. Ovi rashodi o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buhvaćaju otplatu kamata za primljene kredite i zajmove, sredstva za bankarske usluge i usluge platnog prometa, zatezne kamate, negativne tečajne razlike i ostale nespomenute financijske rashode.</w:t>
      </w:r>
      <w:r w:rsidR="00E13B75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Ova skupina rashoda je za 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2,2</w:t>
      </w:r>
      <w:r w:rsidR="00E13B75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milijuna eura </w:t>
      </w:r>
      <w:r w:rsidR="00352CE0" w:rsidRPr="00032AC2">
        <w:rPr>
          <w:rFonts w:ascii="Arial" w:eastAsia="Times New Roman" w:hAnsi="Arial" w:cs="Arial"/>
          <w:sz w:val="20"/>
          <w:szCs w:val="20"/>
          <w:lang w:eastAsia="hr-HR"/>
        </w:rPr>
        <w:t>ili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1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="00451382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%</w:t>
      </w:r>
      <w:r w:rsidR="00352CE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13B75" w:rsidRPr="00032AC2">
        <w:rPr>
          <w:rFonts w:ascii="Arial" w:eastAsia="Times New Roman" w:hAnsi="Arial" w:cs="Arial"/>
          <w:sz w:val="20"/>
          <w:szCs w:val="20"/>
          <w:lang w:eastAsia="hr-HR"/>
        </w:rPr>
        <w:t>niža nego u 202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E13B75" w:rsidRPr="00032AC2">
        <w:rPr>
          <w:rFonts w:ascii="Arial" w:eastAsia="Times New Roman" w:hAnsi="Arial" w:cs="Arial"/>
          <w:sz w:val="20"/>
          <w:szCs w:val="20"/>
          <w:lang w:eastAsia="hr-HR"/>
        </w:rPr>
        <w:t>. godini.</w:t>
      </w:r>
    </w:p>
    <w:p w14:paraId="18E1376F" w14:textId="77777777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2C4CF7ED" w14:textId="26020D96" w:rsidR="00511E38" w:rsidRPr="00032AC2" w:rsidRDefault="00395E6C" w:rsidP="005838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Subvencije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su planirane u ukupnom iznosu od 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50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C84C65" w:rsidRPr="00032AC2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46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A2922" w:rsidRPr="00032AC2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B659C9" w:rsidRPr="00032AC2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B71841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i </w:t>
      </w:r>
      <w:r w:rsidR="00B71841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gotovo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u cijelosti se odnos</w:t>
      </w:r>
      <w:r w:rsidR="006758CB" w:rsidRPr="00032AC2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na sredstva financirana iz proračuna Grada. Obuhvaćaju subvencije trgovačkim društvima u javnom sektoru te subvencije trgovačkim društvima, poljoprivrednicima i obrtnicima izvan javnog sektora. Najveći se dio subvencija planira za javni gradski prijevoz </w:t>
      </w:r>
      <w:r w:rsidR="0058381A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u iznosu </w:t>
      </w:r>
      <w:r w:rsidR="001669EF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168,6 </w:t>
      </w:r>
      <w:r w:rsidR="0058381A" w:rsidRPr="00032AC2">
        <w:rPr>
          <w:rFonts w:ascii="Arial" w:eastAsia="Times New Roman" w:hAnsi="Arial" w:cs="Arial"/>
          <w:sz w:val="20"/>
          <w:szCs w:val="20"/>
          <w:lang w:eastAsia="hr-HR"/>
        </w:rPr>
        <w:t>milijuna eura</w:t>
      </w:r>
      <w:r w:rsidR="00F303AE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1669EF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795B200" w14:textId="77777777" w:rsidR="009F29BD" w:rsidRPr="00032AC2" w:rsidRDefault="009F29BD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34DA65F2" w14:textId="642EB621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Pomoći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su planirane u iznosu od </w:t>
      </w:r>
      <w:r w:rsidR="00475D0A" w:rsidRPr="00032AC2">
        <w:rPr>
          <w:rFonts w:ascii="Arial" w:eastAsia="Times New Roman" w:hAnsi="Arial" w:cs="Arial"/>
          <w:sz w:val="20"/>
          <w:szCs w:val="20"/>
          <w:lang w:eastAsia="hr-HR"/>
        </w:rPr>
        <w:t>52.133.170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C14A6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475D0A" w:rsidRPr="00032AC2">
        <w:rPr>
          <w:rFonts w:ascii="Arial" w:eastAsia="Times New Roman" w:hAnsi="Arial" w:cs="Arial"/>
          <w:sz w:val="20"/>
          <w:szCs w:val="20"/>
          <w:lang w:eastAsia="hr-HR"/>
        </w:rPr>
        <w:t>52.027.200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C14A6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 Grada</w:t>
      </w:r>
      <w:r w:rsidR="00E4432C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Najznačajniji iznos pomoći u visini od </w:t>
      </w:r>
      <w:r w:rsidR="00DA72AF" w:rsidRPr="00032AC2">
        <w:rPr>
          <w:rFonts w:ascii="Arial" w:eastAsia="Times New Roman" w:hAnsi="Arial" w:cs="Arial"/>
          <w:sz w:val="20"/>
          <w:szCs w:val="20"/>
          <w:lang w:eastAsia="hr-HR"/>
        </w:rPr>
        <w:t>21.2</w:t>
      </w:r>
      <w:r w:rsidR="00795B93" w:rsidRPr="00032AC2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DA72AF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6.000 </w:t>
      </w:r>
      <w:r w:rsidR="005C14A6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planira se za </w:t>
      </w:r>
      <w:r w:rsidR="0066169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sufinanciranje obnova 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privatnih </w:t>
      </w:r>
      <w:r w:rsidR="00661698" w:rsidRPr="00032AC2">
        <w:rPr>
          <w:rFonts w:ascii="Arial" w:eastAsia="Times New Roman" w:hAnsi="Arial" w:cs="Arial"/>
          <w:sz w:val="20"/>
          <w:szCs w:val="20"/>
          <w:lang w:eastAsia="hr-HR"/>
        </w:rPr>
        <w:t>zgrada oštećenih potresom na području Grada Zagreba</w:t>
      </w:r>
      <w:r w:rsidR="00F303AE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6169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3985B461" w14:textId="77777777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hr-HR"/>
        </w:rPr>
      </w:pPr>
    </w:p>
    <w:p w14:paraId="5965C14E" w14:textId="751F08B7" w:rsidR="00E03953" w:rsidRPr="00032AC2" w:rsidRDefault="00395E6C" w:rsidP="00E039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Naknade građanima i kućanstvima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planiraju se u ukupnom iznosu</w:t>
      </w: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od </w:t>
      </w:r>
      <w:r w:rsidR="00C84C65" w:rsidRPr="00032AC2">
        <w:rPr>
          <w:rFonts w:ascii="Arial" w:eastAsia="Times New Roman" w:hAnsi="Arial" w:cs="Arial"/>
          <w:sz w:val="20"/>
          <w:szCs w:val="20"/>
          <w:lang w:eastAsia="hr-HR"/>
        </w:rPr>
        <w:t>96.244.960</w:t>
      </w:r>
      <w:r w:rsidR="00475D0A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15584C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, a gotovo u c</w:t>
      </w:r>
      <w:r w:rsidR="0015584C" w:rsidRPr="00032AC2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jel</w:t>
      </w:r>
      <w:r w:rsidR="0015584C" w:rsidRPr="00032AC2">
        <w:rPr>
          <w:rFonts w:ascii="Arial" w:eastAsia="Times New Roman" w:hAnsi="Arial" w:cs="Arial"/>
          <w:sz w:val="20"/>
          <w:szCs w:val="20"/>
          <w:lang w:eastAsia="hr-HR"/>
        </w:rPr>
        <w:t>osti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se odnose na isplate iz samog proračuna Grada (</w:t>
      </w:r>
      <w:r w:rsidR="00C84C65" w:rsidRPr="00032AC2">
        <w:rPr>
          <w:rFonts w:ascii="Arial" w:eastAsia="Times New Roman" w:hAnsi="Arial" w:cs="Arial"/>
          <w:sz w:val="20"/>
          <w:szCs w:val="20"/>
          <w:lang w:eastAsia="hr-HR"/>
        </w:rPr>
        <w:t>94.103.050</w:t>
      </w:r>
      <w:r w:rsidR="0015584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). U ovoj skupini rashoda planirana su sredstva </w:t>
      </w:r>
      <w:r w:rsidR="00E1237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za </w:t>
      </w:r>
      <w:r w:rsidR="00965AC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korisnike </w:t>
      </w:r>
      <w:proofErr w:type="spellStart"/>
      <w:r w:rsidR="00965AC3" w:rsidRPr="00032AC2">
        <w:rPr>
          <w:rFonts w:ascii="Arial" w:eastAsia="Times New Roman" w:hAnsi="Arial" w:cs="Arial"/>
          <w:sz w:val="20"/>
          <w:szCs w:val="20"/>
          <w:lang w:eastAsia="hr-HR"/>
        </w:rPr>
        <w:t>inkluzivnog</w:t>
      </w:r>
      <w:proofErr w:type="spellEnd"/>
      <w:r w:rsidR="00965AC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dodatka, </w:t>
      </w:r>
      <w:r w:rsidR="0089066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novčanu pomoć za novorođenčad, </w:t>
      </w:r>
      <w:r w:rsidR="00544CE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za naknade za roditelje odgojitelje, </w:t>
      </w:r>
      <w:r w:rsidR="0089066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stipendije,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dodatak uz mirovinu, pomoć kućanstvima za troškove stanovanja</w:t>
      </w:r>
      <w:r w:rsidR="00965AC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, besplatan javni gradski prijevoz za osobe starije od 65 </w:t>
      </w:r>
      <w:r w:rsidR="00E1237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godina </w:t>
      </w:r>
      <w:r w:rsidR="00965AC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i mlađe od 18 godina </w:t>
      </w:r>
      <w:r w:rsidR="00890669" w:rsidRPr="00032AC2">
        <w:rPr>
          <w:rFonts w:ascii="Arial" w:eastAsia="Times New Roman" w:hAnsi="Arial" w:cs="Arial"/>
          <w:sz w:val="20"/>
          <w:szCs w:val="20"/>
          <w:lang w:eastAsia="hr-HR"/>
        </w:rPr>
        <w:t>i druge pomoći sukladno Odluci o socijalnoj skrbi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16360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sistematske </w:t>
      </w:r>
      <w:r w:rsidR="00F00E9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i onkološke </w:t>
      </w:r>
      <w:r w:rsidR="0016360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preglede hrvatskih branitelja i hrvatskih ratnih vojnih invalida, </w:t>
      </w:r>
      <w:r w:rsidR="00890669" w:rsidRPr="00032AC2">
        <w:rPr>
          <w:rFonts w:ascii="Arial" w:eastAsia="Times New Roman" w:hAnsi="Arial" w:cs="Arial"/>
          <w:sz w:val="20"/>
          <w:szCs w:val="20"/>
          <w:lang w:eastAsia="hr-HR"/>
        </w:rPr>
        <w:t>za sufinanciranje boksova za smještaj spremnika za komunalni otpad, priključenje na komunalne vodne građevine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te za ostale naknade.</w:t>
      </w:r>
      <w:r w:rsidR="00E0395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657C052D" w14:textId="77777777" w:rsidR="00C47484" w:rsidRPr="00032AC2" w:rsidRDefault="00C47484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6B75C5FE" w14:textId="09FADDA1" w:rsidR="00395E6C" w:rsidRPr="00032AC2" w:rsidRDefault="00DA72AF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Rashodi za donacije, kazne, naknade šteta i kapitalne pomoći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 ukupnom iznosu od </w:t>
      </w:r>
      <w:r w:rsidR="00E1237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172.814.880 </w:t>
      </w:r>
      <w:r w:rsidR="00322281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obuhvaćaju tekuće i kapitalne donacije, kazne, penale, naknade šteta i kapitalne pomoći, a na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isplate iz proračuna Grada odnosi se </w:t>
      </w:r>
      <w:r w:rsidR="00E1237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172.400.460 </w:t>
      </w:r>
      <w:r w:rsidR="00322281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>. Na tekuće donacije u novcu</w:t>
      </w:r>
      <w:r w:rsidR="00322281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iz proračuna Grada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ukupno se odnosi </w:t>
      </w:r>
      <w:r w:rsidR="00E1237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97.252.860 </w:t>
      </w:r>
      <w:r w:rsidR="00322281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je najznačajnije sufinanciranje programa sporta, </w:t>
      </w:r>
      <w:r w:rsidR="00511E38" w:rsidRPr="00032AC2">
        <w:rPr>
          <w:rFonts w:ascii="Arial" w:eastAsia="Times New Roman" w:hAnsi="Arial" w:cs="Arial"/>
          <w:sz w:val="20"/>
          <w:szCs w:val="20"/>
          <w:lang w:eastAsia="hr-HR"/>
        </w:rPr>
        <w:t>privatni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h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i </w:t>
      </w:r>
      <w:r w:rsidR="00511E38" w:rsidRPr="00032AC2">
        <w:rPr>
          <w:rFonts w:ascii="Arial" w:eastAsia="Times New Roman" w:hAnsi="Arial" w:cs="Arial"/>
          <w:sz w:val="20"/>
          <w:szCs w:val="20"/>
          <w:lang w:eastAsia="hr-HR"/>
        </w:rPr>
        <w:t>vjerski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h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vrtić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>, nezavisn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produkcij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 kulturi, Vatrogasn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zajednic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Grada Zagreba te Gradsko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g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društv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Crvenog križa Zagreb.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5DA41AB0" w14:textId="11DAEA37" w:rsidR="00395E6C" w:rsidRPr="00032AC2" w:rsidRDefault="00322281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Kapitalne pomoći iz proračuna Grada u iznosu od </w:t>
      </w:r>
      <w:r w:rsidR="008F708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30.265.800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eura s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e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najvećim dijelom</w:t>
      </w:r>
      <w:r w:rsidR="00334A7D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 iznosu od </w:t>
      </w:r>
      <w:r w:rsidR="008A5157" w:rsidRPr="00032AC2">
        <w:rPr>
          <w:rFonts w:ascii="Arial" w:eastAsia="Times New Roman" w:hAnsi="Arial" w:cs="Arial"/>
          <w:sz w:val="20"/>
          <w:szCs w:val="20"/>
          <w:lang w:eastAsia="hr-HR"/>
        </w:rPr>
        <w:t>19.405.800</w:t>
      </w:r>
      <w:r w:rsidR="001145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odnose na obnovu </w:t>
      </w:r>
      <w:r w:rsidR="001145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i održavanje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>voznog parka Zagrebačkog električnog tramvaja</w:t>
      </w:r>
      <w:r w:rsidR="001145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te revitalizaciju Uspinjače</w:t>
      </w:r>
      <w:r w:rsidR="00092A0A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te na </w:t>
      </w:r>
      <w:r w:rsidR="008F708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Zagrebački velesajam u iznosu od 2.737.000 eura i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Centar za gospodarenje otpadom u iznosu od </w:t>
      </w:r>
      <w:r w:rsidR="008A5157" w:rsidRPr="00032AC2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114549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8A5157" w:rsidRPr="00032AC2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114549" w:rsidRPr="00032AC2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4246E4" w:rsidRPr="00032AC2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00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0638D" w:rsidRPr="00032AC2">
        <w:rPr>
          <w:rFonts w:ascii="Arial" w:eastAsia="Times New Roman" w:hAnsi="Arial" w:cs="Arial"/>
          <w:sz w:val="20"/>
          <w:szCs w:val="20"/>
          <w:lang w:eastAsia="hr-HR"/>
        </w:rPr>
        <w:t>eura.</w:t>
      </w:r>
    </w:p>
    <w:p w14:paraId="0E3A9398" w14:textId="77777777" w:rsidR="007A47EF" w:rsidRPr="00032AC2" w:rsidRDefault="007A47EF" w:rsidP="00C02321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1FC3667E" w14:textId="4DDC206F" w:rsidR="00A11028" w:rsidRPr="00032AC2" w:rsidRDefault="001D1EF7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NABAVU NEFINANCIJSKE IMOVINE 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planirani su u ukupnom iznosu od </w:t>
      </w:r>
      <w:r w:rsidR="00C84C65" w:rsidRPr="00032AC2">
        <w:rPr>
          <w:rFonts w:ascii="Arial" w:eastAsia="Times New Roman" w:hAnsi="Arial" w:cs="Arial"/>
          <w:sz w:val="20"/>
          <w:szCs w:val="20"/>
          <w:lang w:eastAsia="hr-HR"/>
        </w:rPr>
        <w:t>589.988.900</w:t>
      </w:r>
      <w:r w:rsidR="008F708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D5431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93147E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D74289" w:rsidRPr="00032AC2">
        <w:rPr>
          <w:rFonts w:ascii="Arial" w:eastAsia="Times New Roman" w:hAnsi="Arial" w:cs="Arial"/>
          <w:sz w:val="20"/>
          <w:szCs w:val="20"/>
          <w:lang w:eastAsia="hr-HR"/>
        </w:rPr>
        <w:t>529.235</w:t>
      </w:r>
      <w:r w:rsidR="008F708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.520 </w:t>
      </w:r>
      <w:r w:rsidR="00D5431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 Grada</w:t>
      </w:r>
      <w:r w:rsidR="00C2567E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dok se </w:t>
      </w:r>
      <w:r w:rsidR="008F708B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60.753.380 </w:t>
      </w:r>
      <w:r w:rsidR="00D5431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95E6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odnosi na proračunske korisnike. </w:t>
      </w:r>
      <w:r w:rsidR="00BC5267" w:rsidRPr="00032AC2">
        <w:rPr>
          <w:rFonts w:ascii="Arial" w:eastAsia="Times New Roman" w:hAnsi="Arial" w:cs="Arial"/>
          <w:sz w:val="20"/>
          <w:szCs w:val="20"/>
          <w:lang w:eastAsia="hr-HR"/>
        </w:rPr>
        <w:t>Kapitalna ulaganja koja se iskazuju ovim razredom ekonomske klasifikacije u 202</w:t>
      </w:r>
      <w:r w:rsidR="00A11028" w:rsidRPr="00032AC2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11454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A1102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planirana su u nešto višem iznosu </w:t>
      </w:r>
      <w:r w:rsidR="00FD3835" w:rsidRPr="00032AC2">
        <w:rPr>
          <w:rFonts w:ascii="Arial" w:eastAsia="Times New Roman" w:hAnsi="Arial" w:cs="Arial"/>
          <w:sz w:val="20"/>
          <w:szCs w:val="20"/>
          <w:lang w:eastAsia="hr-HR"/>
        </w:rPr>
        <w:t>(</w:t>
      </w:r>
      <w:r w:rsidR="0052752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za </w:t>
      </w:r>
      <w:r w:rsidR="00D74289" w:rsidRPr="00032AC2">
        <w:rPr>
          <w:rFonts w:ascii="Arial" w:eastAsia="Times New Roman" w:hAnsi="Arial" w:cs="Arial"/>
          <w:sz w:val="20"/>
          <w:szCs w:val="20"/>
          <w:lang w:eastAsia="hr-HR"/>
        </w:rPr>
        <w:t>15,4</w:t>
      </w:r>
      <w:r w:rsidR="00FD3835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milijuna eura</w:t>
      </w:r>
      <w:r w:rsidR="0052752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više</w:t>
      </w:r>
      <w:r w:rsidR="00FD3835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) </w:t>
      </w:r>
      <w:r w:rsidR="00A1102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od značajno planiranih sredstava u 2025. </w:t>
      </w:r>
      <w:r w:rsidR="0052752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odnosno </w:t>
      </w:r>
      <w:r w:rsidR="00647303" w:rsidRPr="00032AC2">
        <w:rPr>
          <w:rFonts w:ascii="Arial" w:eastAsia="Times New Roman" w:hAnsi="Arial" w:cs="Arial"/>
          <w:sz w:val="20"/>
          <w:szCs w:val="20"/>
          <w:lang w:eastAsia="hr-HR"/>
        </w:rPr>
        <w:t>2,4 puta više</w:t>
      </w:r>
      <w:r w:rsidR="0052752D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D3835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od </w:t>
      </w:r>
      <w:r w:rsidR="00A1102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izvršenja u 2024. </w:t>
      </w:r>
      <w:r w:rsidR="0052752D" w:rsidRPr="00032AC2">
        <w:rPr>
          <w:rFonts w:ascii="Arial" w:eastAsia="Times New Roman" w:hAnsi="Arial" w:cs="Arial"/>
          <w:sz w:val="20"/>
          <w:szCs w:val="20"/>
          <w:lang w:eastAsia="hr-HR"/>
        </w:rPr>
        <w:t>kada je realizacija iznosila</w:t>
      </w:r>
      <w:r w:rsidR="00FD3835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245,1 milijun eura.</w:t>
      </w:r>
    </w:p>
    <w:p w14:paraId="7FCF31E5" w14:textId="4ABA22AA" w:rsidR="00A11028" w:rsidRPr="00032AC2" w:rsidRDefault="00A11028" w:rsidP="00C0232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BAC70CF" w14:textId="5663A3EA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nabavu neproizvedene dugotrajne imovine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su ulaganja nastala u postupku stjecanja nefinancijske imovine i klasificiraju se prema njezinim pojavnim oblicima. Za ove rashode planirano je ukupno </w:t>
      </w:r>
      <w:r w:rsidR="00E439BB" w:rsidRPr="00032AC2">
        <w:rPr>
          <w:rFonts w:ascii="Arial" w:eastAsia="Times New Roman" w:hAnsi="Arial" w:cs="Arial"/>
          <w:sz w:val="20"/>
          <w:szCs w:val="20"/>
          <w:lang w:eastAsia="hr-HR"/>
        </w:rPr>
        <w:t>12.465.100</w:t>
      </w:r>
      <w:r w:rsidR="0064730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F58CB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93147E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se </w:t>
      </w:r>
      <w:r w:rsidR="00E439BB" w:rsidRPr="00032AC2">
        <w:rPr>
          <w:rFonts w:ascii="Arial" w:eastAsia="Times New Roman" w:hAnsi="Arial" w:cs="Arial"/>
          <w:sz w:val="20"/>
          <w:szCs w:val="20"/>
          <w:lang w:eastAsia="hr-HR"/>
        </w:rPr>
        <w:t>10.521.060</w:t>
      </w:r>
      <w:r w:rsidR="00647303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F58CB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odnosi na </w:t>
      </w:r>
      <w:r w:rsidR="00DA3F2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rashode koji se financiraju s računa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proračun</w:t>
      </w:r>
      <w:r w:rsidR="00DA3F24" w:rsidRPr="00032AC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Grada.              </w:t>
      </w:r>
    </w:p>
    <w:p w14:paraId="017095A3" w14:textId="77777777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572938EC" w14:textId="49A22737" w:rsidR="00395E6C" w:rsidRPr="00032AC2" w:rsidRDefault="00395E6C" w:rsidP="00F833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Rashodi za nabavu proizvedene dugotrajne imovine</w:t>
      </w:r>
      <w:r w:rsidR="00D61D5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 iznosu od </w:t>
      </w:r>
      <w:r w:rsidR="00E439BB" w:rsidRPr="00032AC2">
        <w:rPr>
          <w:rFonts w:ascii="Arial" w:eastAsia="Times New Roman" w:hAnsi="Arial" w:cs="Arial"/>
          <w:sz w:val="20"/>
          <w:szCs w:val="20"/>
          <w:lang w:eastAsia="hr-HR"/>
        </w:rPr>
        <w:t>353.851.000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243EF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obuhvaćaju ulaganja u stambene i poslovne objekte, ceste, željeznice, plinovod, vodovod i kanalizaciju, ostale građevinske objekte, postrojenja i opremu, prijevozna sredstva, knjige, umjetnička djela, ostale izložbene vrijednosti te nematerijalnu proizvedenu imovinu. Od navedenog iznosa na korisnike se odnosi 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16.159.840 </w:t>
      </w:r>
      <w:r w:rsidR="006243EF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820D4C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Kapitaln</w:t>
      </w:r>
      <w:r w:rsidR="00820D4C" w:rsidRPr="00032AC2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ulaganja iz proračuna Grada</w:t>
      </w:r>
      <w:r w:rsidR="0080476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u iznosu od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439BB" w:rsidRPr="00032AC2">
        <w:rPr>
          <w:rFonts w:ascii="Arial" w:eastAsia="Times New Roman" w:hAnsi="Arial" w:cs="Arial"/>
          <w:sz w:val="20"/>
          <w:szCs w:val="20"/>
          <w:lang w:eastAsia="hr-HR"/>
        </w:rPr>
        <w:t>337.691.160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80476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eura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realizirat će se </w:t>
      </w:r>
      <w:r w:rsidR="006243EF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najvećim dijelom </w:t>
      </w:r>
      <w:r w:rsidR="009F1568" w:rsidRPr="00032AC2">
        <w:rPr>
          <w:rFonts w:ascii="Arial" w:eastAsia="Times New Roman" w:hAnsi="Arial" w:cs="Arial"/>
          <w:sz w:val="20"/>
          <w:szCs w:val="20"/>
          <w:lang w:eastAsia="hr-HR"/>
        </w:rPr>
        <w:t>putem Gradskog ureda za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izgradnju,</w:t>
      </w:r>
      <w:r w:rsidR="00820D4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prostorno uređenje</w:t>
      </w:r>
      <w:r w:rsidR="00002A13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820D4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graditeljstvo</w:t>
      </w:r>
      <w:r w:rsidR="009F156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i obnovu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i Gradskog ureda za</w:t>
      </w:r>
      <w:r w:rsidR="00833BC8" w:rsidRPr="00032AC2">
        <w:t xml:space="preserve"> </w:t>
      </w:r>
      <w:r w:rsidR="00833BC8" w:rsidRPr="00032AC2">
        <w:rPr>
          <w:rFonts w:ascii="Arial" w:eastAsia="Times New Roman" w:hAnsi="Arial" w:cs="Arial"/>
          <w:sz w:val="20"/>
          <w:szCs w:val="20"/>
          <w:lang w:eastAsia="hr-HR"/>
        </w:rPr>
        <w:t>mjesnu samoupravu, promet, komunalne poslove, civilnu zaštitu i sigurnost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, a prema Programu radova kapitalnih ulaganja u objekte za društvene djelatnosti </w:t>
      </w:r>
      <w:r w:rsidR="00FA584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i </w:t>
      </w:r>
      <w:r w:rsidR="001B3247" w:rsidRPr="00032AC2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FA584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obnovu objekata oštećenih potresom u Gradu Zagrebu </w:t>
      </w:r>
      <w:r w:rsidR="0051620D" w:rsidRPr="00032AC2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202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4E206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. i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Programu </w:t>
      </w:r>
      <w:r w:rsidR="00F8337B" w:rsidRPr="00032AC2">
        <w:rPr>
          <w:rFonts w:ascii="Arial" w:eastAsia="Times New Roman" w:hAnsi="Arial" w:cs="Arial"/>
          <w:sz w:val="20"/>
          <w:szCs w:val="20"/>
          <w:lang w:eastAsia="hr-HR"/>
        </w:rPr>
        <w:t>radova na području komunalnog gospodarstva u Gradu Zagrebu u 202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="00F8337B"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379A41A" w14:textId="77777777" w:rsidR="00F43C86" w:rsidRPr="00032AC2" w:rsidRDefault="00F43C86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C99741A" w14:textId="57161E31" w:rsidR="00395E6C" w:rsidRPr="00032AC2" w:rsidRDefault="00395E6C" w:rsidP="00395E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Rashodi za dodatna ulaganja na nefinancijskoj imovini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su ulaganja kojima se </w:t>
      </w:r>
      <w:r w:rsidR="0093147E" w:rsidRPr="00032AC2">
        <w:rPr>
          <w:rFonts w:ascii="Arial" w:eastAsia="Times New Roman" w:hAnsi="Arial" w:cs="Arial"/>
          <w:sz w:val="20"/>
          <w:szCs w:val="20"/>
          <w:lang w:eastAsia="hr-HR"/>
        </w:rPr>
        <w:t>produljuje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vijek upotrebe, povećava kapacitet, mijenja namjena ili znatno poboljšavaju funkcionalna svojstva nefinancijske imovine, a </w:t>
      </w:r>
      <w:r w:rsidR="0093147E" w:rsidRPr="00032AC2">
        <w:rPr>
          <w:rFonts w:ascii="Arial" w:eastAsia="Times New Roman" w:hAnsi="Arial" w:cs="Arial"/>
          <w:sz w:val="20"/>
          <w:szCs w:val="20"/>
          <w:lang w:eastAsia="hr-HR"/>
        </w:rPr>
        <w:t>planirana su u ukupnom iznosu od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439BB" w:rsidRPr="00032AC2">
        <w:rPr>
          <w:rFonts w:ascii="Arial" w:eastAsia="Times New Roman" w:hAnsi="Arial" w:cs="Arial"/>
          <w:sz w:val="20"/>
          <w:szCs w:val="20"/>
          <w:lang w:eastAsia="hr-HR"/>
        </w:rPr>
        <w:t>223.671.900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243EF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se na proračunske korisnike odnosi 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42.648.900 </w:t>
      </w:r>
      <w:r w:rsidR="006243EF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</w:p>
    <w:p w14:paraId="3607F08C" w14:textId="77777777" w:rsidR="003D416E" w:rsidRPr="00032AC2" w:rsidRDefault="003D416E" w:rsidP="00395E6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</w:p>
    <w:p w14:paraId="40E53E07" w14:textId="38415AC6" w:rsidR="00EB37E6" w:rsidRPr="00032AC2" w:rsidRDefault="00395E6C" w:rsidP="00C023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IZDACI ZA FINANC</w:t>
      </w:r>
      <w:r w:rsidR="00D73DA2"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IJSKU IMOVINU I OTPLATE ZAJMOVA </w:t>
      </w:r>
      <w:r w:rsidR="0093147E" w:rsidRPr="00032AC2">
        <w:rPr>
          <w:rFonts w:ascii="Arial" w:eastAsia="Times New Roman" w:hAnsi="Arial" w:cs="Arial"/>
          <w:sz w:val="20"/>
          <w:szCs w:val="20"/>
          <w:lang w:eastAsia="hr-HR"/>
        </w:rPr>
        <w:t>planiraju se u iznosu od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72.479.730 </w:t>
      </w:r>
      <w:r w:rsidR="00123A7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334A7D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123A7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što je za 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>4,4</w:t>
      </w:r>
      <w:r w:rsidR="002063B5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milijuna</w:t>
      </w:r>
      <w:r w:rsidR="00123A7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eura </w:t>
      </w:r>
      <w:r w:rsidR="00AF3071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ili 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6,5 </w:t>
      </w:r>
      <w:r w:rsidR="00AF3071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% 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>više</w:t>
      </w:r>
      <w:r w:rsidR="00123A7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nego u 202</w:t>
      </w:r>
      <w:r w:rsidR="00D07617" w:rsidRPr="00032AC2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123A7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Od navedenog iznosa u Gradskom uredu za financije</w:t>
      </w:r>
      <w:r w:rsidR="00C011F2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i javnu nabavu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za otplatu primljenih kredita planirana su sredstva u iznosu od </w:t>
      </w:r>
      <w:r w:rsidR="00032129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50.501.000 </w:t>
      </w:r>
      <w:r w:rsidR="00123A70" w:rsidRPr="00032AC2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="00AF3071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4C2E6E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najvećim dijelom za</w:t>
      </w:r>
      <w:r w:rsidR="000A1DFC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redovite otplate glavnice po dugoročnim investicijskim kreditima Grada.</w:t>
      </w:r>
      <w:r w:rsidR="00D8243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U Gradskom uredu za gospodarstvo, e</w:t>
      </w:r>
      <w:r w:rsidR="00C011F2" w:rsidRPr="00032AC2">
        <w:rPr>
          <w:rFonts w:ascii="Arial" w:eastAsia="Times New Roman" w:hAnsi="Arial" w:cs="Arial"/>
          <w:sz w:val="20"/>
          <w:szCs w:val="20"/>
          <w:lang w:eastAsia="hr-HR"/>
        </w:rPr>
        <w:t>kološku održivost i strategijsko planiranje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planirana su sredstva u iznosu od </w:t>
      </w:r>
      <w:r w:rsidR="002748A4" w:rsidRPr="00032AC2">
        <w:rPr>
          <w:rFonts w:ascii="Arial" w:eastAsia="Times New Roman" w:hAnsi="Arial" w:cs="Arial"/>
          <w:sz w:val="20"/>
          <w:szCs w:val="20"/>
          <w:lang w:eastAsia="hr-HR"/>
        </w:rPr>
        <w:t>18.500.000 eura</w:t>
      </w:r>
      <w:r w:rsidR="0093147E" w:rsidRPr="00032AC2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2748A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od čega 10.000.000 eura za </w:t>
      </w:r>
      <w:r w:rsidR="00032129" w:rsidRPr="00032AC2">
        <w:rPr>
          <w:rFonts w:ascii="Arial" w:eastAsia="Times New Roman" w:hAnsi="Arial" w:cs="Arial"/>
          <w:sz w:val="20"/>
          <w:szCs w:val="20"/>
          <w:lang w:eastAsia="hr-HR"/>
        </w:rPr>
        <w:t>pozajmicu trgovačkom</w:t>
      </w:r>
      <w:r w:rsidR="007163A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društv</w:t>
      </w:r>
      <w:r w:rsidR="00032129" w:rsidRPr="00032AC2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7163A7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Zagrebački električni tramvaj d.o.o. </w:t>
      </w:r>
      <w:r w:rsidR="00032129" w:rsidRPr="00032AC2">
        <w:rPr>
          <w:rFonts w:ascii="Arial" w:eastAsia="Times New Roman" w:hAnsi="Arial" w:cs="Arial"/>
          <w:sz w:val="20"/>
          <w:szCs w:val="20"/>
          <w:lang w:eastAsia="hr-HR"/>
        </w:rPr>
        <w:t>za premošćivanje jaza do isplate sredstava iz Mehanizma za oporavak i otpornost</w:t>
      </w:r>
      <w:r w:rsidR="002748A4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te 8.500.000 eura za dokapitalizaciju ovog društva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672970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299398D6" w14:textId="244C5809" w:rsidR="00EE5044" w:rsidRPr="00032AC2" w:rsidRDefault="00EE5044" w:rsidP="00EE504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72EB5E5" w14:textId="44E29FC8" w:rsidR="00EE5044" w:rsidRPr="00032AC2" w:rsidRDefault="00EE5044" w:rsidP="00DA3F2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>PRENESENI</w:t>
      </w:r>
      <w:r w:rsidR="00157601"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MANJAK/VIŠAK</w:t>
      </w:r>
      <w:r w:rsidRPr="00032AC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</w:p>
    <w:p w14:paraId="6902B0E4" w14:textId="1907DBC6" w:rsidR="009B537F" w:rsidRPr="00032AC2" w:rsidRDefault="008C53E2" w:rsidP="009B53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sz w:val="20"/>
          <w:szCs w:val="20"/>
          <w:lang w:eastAsia="hr-HR"/>
        </w:rPr>
        <w:t>U Godišnjem izvještaju o izvršenju Proračuna Grada Zagreba za 2024. i F</w:t>
      </w:r>
      <w:r w:rsidR="009B537F"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inancijskom izvještaju za 2024. na konsolidiranoj razini kao rezultat poslovanja utvrđen je višak prihoda i primitaka u iznosu od 67.591.201,66 eura, što zajedno s prenesenim viškom prihoda i primitaka iz prethodne godine iznosi 118.189.195,59 eura. </w:t>
      </w:r>
    </w:p>
    <w:p w14:paraId="3A0C3A2D" w14:textId="77777777" w:rsidR="009B537F" w:rsidRPr="00032AC2" w:rsidRDefault="009B537F" w:rsidP="009B53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A8E33B" w14:textId="3DEBED7D" w:rsidR="009B537F" w:rsidRPr="00032AC2" w:rsidRDefault="009B537F" w:rsidP="009B53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Na samom proračunu u užem smislu ostvaren je višak u iznosu 62.165.675,43 eura što s prenesenim viškom iz prethodnog razdoblja iznosi </w:t>
      </w:r>
      <w:r w:rsidR="008C53E2" w:rsidRPr="00032AC2">
        <w:rPr>
          <w:rFonts w:ascii="Arial" w:eastAsia="Times New Roman" w:hAnsi="Arial" w:cs="Arial"/>
          <w:sz w:val="20"/>
          <w:szCs w:val="20"/>
          <w:lang w:eastAsia="hr-HR"/>
        </w:rPr>
        <w:t>134.253.456,28</w:t>
      </w: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 eura. Grad je u izmjene i dopune Proračuna Grada Zagreba za 2025. i projekcija za 2026. i 2027. uključio višak ostvarenih prihoda u 2024. u iznosu od 125.895.800 eura, a u Proračun za 2026. i projekcije za 2027. i 2028. iznos od 8.357.600 eura.</w:t>
      </w:r>
    </w:p>
    <w:p w14:paraId="6C41B384" w14:textId="03A9CCA3" w:rsidR="009B537F" w:rsidRPr="00032AC2" w:rsidRDefault="009B537F" w:rsidP="001529E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DB6B902" w14:textId="5A47704C" w:rsidR="005468D0" w:rsidRPr="006E3067" w:rsidRDefault="009B537F" w:rsidP="001529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32AC2">
        <w:rPr>
          <w:rFonts w:ascii="Arial" w:eastAsia="Times New Roman" w:hAnsi="Arial" w:cs="Arial"/>
          <w:sz w:val="20"/>
          <w:szCs w:val="20"/>
          <w:lang w:eastAsia="hr-HR"/>
        </w:rPr>
        <w:t xml:space="preserve">Proračunski korisnici su s druge strane u 2026. planirali pokriće manjka u iznosu </w:t>
      </w:r>
      <w:r w:rsidR="006E3067" w:rsidRPr="00032AC2">
        <w:rPr>
          <w:rFonts w:ascii="Arial" w:eastAsia="Times New Roman" w:hAnsi="Arial" w:cs="Arial"/>
          <w:sz w:val="20"/>
          <w:szCs w:val="20"/>
          <w:lang w:eastAsia="hr-HR"/>
        </w:rPr>
        <w:t>5.314.920 eura i korištenje viška u iznosu 13.656.240 eura što čini višak u iznosu od 8.341.320 eura. U 2027. kod proračunskih korisnika planirano je pokriće manjka u iznosu 5.133.500 eura i korištenje viška u iznosu 9.518.030 eura što čini višak u iznosu 4.384.530 eura dok je u 2028. planirano pokriće manjka u iznosu 4.627.000 eura i korištenje viška u iznosu 8.405.090 eura što čini višak u iznosu 3.778.090 eura.</w:t>
      </w:r>
      <w:bookmarkStart w:id="0" w:name="_GoBack"/>
      <w:bookmarkEnd w:id="0"/>
    </w:p>
    <w:sectPr w:rsidR="005468D0" w:rsidRPr="006E3067" w:rsidSect="00EC052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BF221C"/>
    <w:multiLevelType w:val="hybridMultilevel"/>
    <w:tmpl w:val="11C65FDA"/>
    <w:lvl w:ilvl="0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77160CF"/>
    <w:multiLevelType w:val="hybridMultilevel"/>
    <w:tmpl w:val="807C7F52"/>
    <w:lvl w:ilvl="0" w:tplc="48C05E4A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74BAF"/>
    <w:multiLevelType w:val="hybridMultilevel"/>
    <w:tmpl w:val="87368C6C"/>
    <w:lvl w:ilvl="0" w:tplc="43487C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334F72"/>
    <w:multiLevelType w:val="hybridMultilevel"/>
    <w:tmpl w:val="771CD460"/>
    <w:lvl w:ilvl="0" w:tplc="4C6A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5936"/>
    <w:multiLevelType w:val="hybridMultilevel"/>
    <w:tmpl w:val="72301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A03DF"/>
    <w:multiLevelType w:val="hybridMultilevel"/>
    <w:tmpl w:val="461C0ED2"/>
    <w:lvl w:ilvl="0" w:tplc="0FF455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2C51"/>
    <w:multiLevelType w:val="hybridMultilevel"/>
    <w:tmpl w:val="974E25D2"/>
    <w:lvl w:ilvl="0" w:tplc="55EE264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E378A"/>
    <w:multiLevelType w:val="hybridMultilevel"/>
    <w:tmpl w:val="93024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D25DBC"/>
    <w:multiLevelType w:val="hybridMultilevel"/>
    <w:tmpl w:val="395028B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87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934368"/>
    <w:multiLevelType w:val="hybridMultilevel"/>
    <w:tmpl w:val="951A9DB4"/>
    <w:lvl w:ilvl="0" w:tplc="EA64C5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6"/>
    <w:rsid w:val="00002A13"/>
    <w:rsid w:val="0000316E"/>
    <w:rsid w:val="0000649F"/>
    <w:rsid w:val="000071E4"/>
    <w:rsid w:val="00010B2A"/>
    <w:rsid w:val="00014FE1"/>
    <w:rsid w:val="000160E7"/>
    <w:rsid w:val="000233F7"/>
    <w:rsid w:val="0002492F"/>
    <w:rsid w:val="00030F6D"/>
    <w:rsid w:val="00032129"/>
    <w:rsid w:val="00032AC2"/>
    <w:rsid w:val="00033BC1"/>
    <w:rsid w:val="000366E9"/>
    <w:rsid w:val="00040C8B"/>
    <w:rsid w:val="0004681D"/>
    <w:rsid w:val="0006762D"/>
    <w:rsid w:val="00067F01"/>
    <w:rsid w:val="00070870"/>
    <w:rsid w:val="000711CE"/>
    <w:rsid w:val="000737F6"/>
    <w:rsid w:val="00073BD0"/>
    <w:rsid w:val="0007546C"/>
    <w:rsid w:val="000764BF"/>
    <w:rsid w:val="0008037C"/>
    <w:rsid w:val="000833B5"/>
    <w:rsid w:val="00085108"/>
    <w:rsid w:val="0008575D"/>
    <w:rsid w:val="00092A0A"/>
    <w:rsid w:val="00093A80"/>
    <w:rsid w:val="00096BC4"/>
    <w:rsid w:val="0009774E"/>
    <w:rsid w:val="00097C67"/>
    <w:rsid w:val="000A1DFC"/>
    <w:rsid w:val="000A37F4"/>
    <w:rsid w:val="000A7684"/>
    <w:rsid w:val="000B3634"/>
    <w:rsid w:val="000B3956"/>
    <w:rsid w:val="000C070D"/>
    <w:rsid w:val="000C3378"/>
    <w:rsid w:val="000D0681"/>
    <w:rsid w:val="000D1067"/>
    <w:rsid w:val="000E09CA"/>
    <w:rsid w:val="000F77DA"/>
    <w:rsid w:val="000F7B42"/>
    <w:rsid w:val="00111D5F"/>
    <w:rsid w:val="001137BD"/>
    <w:rsid w:val="00114549"/>
    <w:rsid w:val="001170E1"/>
    <w:rsid w:val="001207D2"/>
    <w:rsid w:val="00121407"/>
    <w:rsid w:val="00121DE4"/>
    <w:rsid w:val="00123A70"/>
    <w:rsid w:val="00131B4C"/>
    <w:rsid w:val="00133A49"/>
    <w:rsid w:val="00140A69"/>
    <w:rsid w:val="00143B5C"/>
    <w:rsid w:val="00146272"/>
    <w:rsid w:val="001470DD"/>
    <w:rsid w:val="00147AE0"/>
    <w:rsid w:val="00147D58"/>
    <w:rsid w:val="001529EC"/>
    <w:rsid w:val="0015584C"/>
    <w:rsid w:val="00157601"/>
    <w:rsid w:val="00163604"/>
    <w:rsid w:val="001656D4"/>
    <w:rsid w:val="001669EF"/>
    <w:rsid w:val="00167CAB"/>
    <w:rsid w:val="00170A5A"/>
    <w:rsid w:val="00176438"/>
    <w:rsid w:val="001804C0"/>
    <w:rsid w:val="00180FF1"/>
    <w:rsid w:val="0018397F"/>
    <w:rsid w:val="001850B8"/>
    <w:rsid w:val="00185E73"/>
    <w:rsid w:val="00190D5A"/>
    <w:rsid w:val="001944D9"/>
    <w:rsid w:val="001966CA"/>
    <w:rsid w:val="001A3A49"/>
    <w:rsid w:val="001A63D9"/>
    <w:rsid w:val="001A7F1A"/>
    <w:rsid w:val="001B05F6"/>
    <w:rsid w:val="001B3247"/>
    <w:rsid w:val="001B3D7E"/>
    <w:rsid w:val="001B57E5"/>
    <w:rsid w:val="001B7AA9"/>
    <w:rsid w:val="001C4D6A"/>
    <w:rsid w:val="001D05D5"/>
    <w:rsid w:val="001D0BF7"/>
    <w:rsid w:val="001D1EF7"/>
    <w:rsid w:val="001D42AD"/>
    <w:rsid w:val="001D4781"/>
    <w:rsid w:val="001D7BBC"/>
    <w:rsid w:val="001E0B45"/>
    <w:rsid w:val="001E4469"/>
    <w:rsid w:val="001E49CB"/>
    <w:rsid w:val="001F1A60"/>
    <w:rsid w:val="001F2E6E"/>
    <w:rsid w:val="001F3FBD"/>
    <w:rsid w:val="001F405B"/>
    <w:rsid w:val="001F7DE4"/>
    <w:rsid w:val="0020151C"/>
    <w:rsid w:val="00203C4B"/>
    <w:rsid w:val="002063B5"/>
    <w:rsid w:val="00206BDF"/>
    <w:rsid w:val="002112B0"/>
    <w:rsid w:val="00212ECD"/>
    <w:rsid w:val="00213213"/>
    <w:rsid w:val="00213A31"/>
    <w:rsid w:val="00217AF2"/>
    <w:rsid w:val="00220649"/>
    <w:rsid w:val="002305BC"/>
    <w:rsid w:val="00232134"/>
    <w:rsid w:val="0024064A"/>
    <w:rsid w:val="00240EFB"/>
    <w:rsid w:val="00244D24"/>
    <w:rsid w:val="00246059"/>
    <w:rsid w:val="002467E9"/>
    <w:rsid w:val="00246AA6"/>
    <w:rsid w:val="00246B9E"/>
    <w:rsid w:val="00251CBA"/>
    <w:rsid w:val="00251FD7"/>
    <w:rsid w:val="00255CAA"/>
    <w:rsid w:val="00261186"/>
    <w:rsid w:val="0026181E"/>
    <w:rsid w:val="00262107"/>
    <w:rsid w:val="00262FC5"/>
    <w:rsid w:val="00263F74"/>
    <w:rsid w:val="00267EA6"/>
    <w:rsid w:val="002711A7"/>
    <w:rsid w:val="0027475F"/>
    <w:rsid w:val="002748A4"/>
    <w:rsid w:val="00275ED9"/>
    <w:rsid w:val="002801B8"/>
    <w:rsid w:val="00281809"/>
    <w:rsid w:val="00286379"/>
    <w:rsid w:val="002A015D"/>
    <w:rsid w:val="002A5A85"/>
    <w:rsid w:val="002A77E1"/>
    <w:rsid w:val="002B012A"/>
    <w:rsid w:val="002B1042"/>
    <w:rsid w:val="002B77DB"/>
    <w:rsid w:val="002C0D61"/>
    <w:rsid w:val="002C229F"/>
    <w:rsid w:val="002C258F"/>
    <w:rsid w:val="002C309B"/>
    <w:rsid w:val="002C4614"/>
    <w:rsid w:val="002C49B8"/>
    <w:rsid w:val="002C58A5"/>
    <w:rsid w:val="002D13AC"/>
    <w:rsid w:val="002D41CA"/>
    <w:rsid w:val="002D4953"/>
    <w:rsid w:val="002D4FB8"/>
    <w:rsid w:val="002E12A9"/>
    <w:rsid w:val="002E2F79"/>
    <w:rsid w:val="002E59D2"/>
    <w:rsid w:val="002F1742"/>
    <w:rsid w:val="002F3C7B"/>
    <w:rsid w:val="002F5882"/>
    <w:rsid w:val="003010A5"/>
    <w:rsid w:val="00304BEB"/>
    <w:rsid w:val="0031550C"/>
    <w:rsid w:val="00317A89"/>
    <w:rsid w:val="00317E41"/>
    <w:rsid w:val="00322281"/>
    <w:rsid w:val="0033063B"/>
    <w:rsid w:val="0033241A"/>
    <w:rsid w:val="00334A7D"/>
    <w:rsid w:val="003357DB"/>
    <w:rsid w:val="00340DDB"/>
    <w:rsid w:val="0034157D"/>
    <w:rsid w:val="00341897"/>
    <w:rsid w:val="00343FA5"/>
    <w:rsid w:val="00352CE0"/>
    <w:rsid w:val="00356D48"/>
    <w:rsid w:val="003578FA"/>
    <w:rsid w:val="00360118"/>
    <w:rsid w:val="00363551"/>
    <w:rsid w:val="00371A90"/>
    <w:rsid w:val="00373AD7"/>
    <w:rsid w:val="00382EC4"/>
    <w:rsid w:val="00384395"/>
    <w:rsid w:val="0038538E"/>
    <w:rsid w:val="00387F72"/>
    <w:rsid w:val="00391094"/>
    <w:rsid w:val="0039109A"/>
    <w:rsid w:val="00393451"/>
    <w:rsid w:val="00395E6C"/>
    <w:rsid w:val="003A0EE9"/>
    <w:rsid w:val="003A2922"/>
    <w:rsid w:val="003A54D8"/>
    <w:rsid w:val="003A611C"/>
    <w:rsid w:val="003B21C2"/>
    <w:rsid w:val="003B3DB5"/>
    <w:rsid w:val="003B6462"/>
    <w:rsid w:val="003B72CF"/>
    <w:rsid w:val="003B756B"/>
    <w:rsid w:val="003C2724"/>
    <w:rsid w:val="003C6188"/>
    <w:rsid w:val="003D213E"/>
    <w:rsid w:val="003D2144"/>
    <w:rsid w:val="003D28AD"/>
    <w:rsid w:val="003D2FA9"/>
    <w:rsid w:val="003D35F2"/>
    <w:rsid w:val="003D3A3E"/>
    <w:rsid w:val="003D416E"/>
    <w:rsid w:val="003D4C39"/>
    <w:rsid w:val="003D5163"/>
    <w:rsid w:val="003E5401"/>
    <w:rsid w:val="003E7485"/>
    <w:rsid w:val="003E7D36"/>
    <w:rsid w:val="003F055A"/>
    <w:rsid w:val="003F1581"/>
    <w:rsid w:val="003F6381"/>
    <w:rsid w:val="00405D8E"/>
    <w:rsid w:val="004066DE"/>
    <w:rsid w:val="00410235"/>
    <w:rsid w:val="00413739"/>
    <w:rsid w:val="00415A1A"/>
    <w:rsid w:val="004206A6"/>
    <w:rsid w:val="004246E4"/>
    <w:rsid w:val="00424DDD"/>
    <w:rsid w:val="00425648"/>
    <w:rsid w:val="0042726B"/>
    <w:rsid w:val="004352B7"/>
    <w:rsid w:val="004417EE"/>
    <w:rsid w:val="00443646"/>
    <w:rsid w:val="00445A62"/>
    <w:rsid w:val="004468FD"/>
    <w:rsid w:val="00451382"/>
    <w:rsid w:val="004537FB"/>
    <w:rsid w:val="00460583"/>
    <w:rsid w:val="00475D0A"/>
    <w:rsid w:val="00477CBA"/>
    <w:rsid w:val="0048260A"/>
    <w:rsid w:val="0048444E"/>
    <w:rsid w:val="00490C59"/>
    <w:rsid w:val="0049249B"/>
    <w:rsid w:val="004A0BFF"/>
    <w:rsid w:val="004A7974"/>
    <w:rsid w:val="004B0684"/>
    <w:rsid w:val="004B0A52"/>
    <w:rsid w:val="004B424F"/>
    <w:rsid w:val="004B581C"/>
    <w:rsid w:val="004B738C"/>
    <w:rsid w:val="004C18AF"/>
    <w:rsid w:val="004C2E6E"/>
    <w:rsid w:val="004C33D4"/>
    <w:rsid w:val="004C363A"/>
    <w:rsid w:val="004D0580"/>
    <w:rsid w:val="004D11C4"/>
    <w:rsid w:val="004D7B88"/>
    <w:rsid w:val="004E0975"/>
    <w:rsid w:val="004E2060"/>
    <w:rsid w:val="004E2A96"/>
    <w:rsid w:val="004E2F15"/>
    <w:rsid w:val="004E6ABA"/>
    <w:rsid w:val="004F49D5"/>
    <w:rsid w:val="004F503F"/>
    <w:rsid w:val="004F5244"/>
    <w:rsid w:val="004F68F9"/>
    <w:rsid w:val="004F7380"/>
    <w:rsid w:val="00503D06"/>
    <w:rsid w:val="005044CE"/>
    <w:rsid w:val="00506A97"/>
    <w:rsid w:val="005078BD"/>
    <w:rsid w:val="00510296"/>
    <w:rsid w:val="0051052B"/>
    <w:rsid w:val="00511E38"/>
    <w:rsid w:val="0051620D"/>
    <w:rsid w:val="0051782E"/>
    <w:rsid w:val="005178FA"/>
    <w:rsid w:val="0052307C"/>
    <w:rsid w:val="00525E53"/>
    <w:rsid w:val="0052752D"/>
    <w:rsid w:val="00532EBF"/>
    <w:rsid w:val="00536FB6"/>
    <w:rsid w:val="00540451"/>
    <w:rsid w:val="0054295F"/>
    <w:rsid w:val="00542F48"/>
    <w:rsid w:val="00544320"/>
    <w:rsid w:val="00544CEE"/>
    <w:rsid w:val="005468D0"/>
    <w:rsid w:val="00550109"/>
    <w:rsid w:val="0055378C"/>
    <w:rsid w:val="00553C48"/>
    <w:rsid w:val="005605EB"/>
    <w:rsid w:val="005665A3"/>
    <w:rsid w:val="00566C2A"/>
    <w:rsid w:val="005720D0"/>
    <w:rsid w:val="005740A5"/>
    <w:rsid w:val="00582894"/>
    <w:rsid w:val="0058381A"/>
    <w:rsid w:val="00585A56"/>
    <w:rsid w:val="005867D8"/>
    <w:rsid w:val="0058798D"/>
    <w:rsid w:val="005920F2"/>
    <w:rsid w:val="00592C7B"/>
    <w:rsid w:val="005964AA"/>
    <w:rsid w:val="00597D96"/>
    <w:rsid w:val="005A34B9"/>
    <w:rsid w:val="005B0D7D"/>
    <w:rsid w:val="005B1FB0"/>
    <w:rsid w:val="005B31A9"/>
    <w:rsid w:val="005B5220"/>
    <w:rsid w:val="005B7F17"/>
    <w:rsid w:val="005C14A6"/>
    <w:rsid w:val="005C346B"/>
    <w:rsid w:val="005D1D96"/>
    <w:rsid w:val="005D40AC"/>
    <w:rsid w:val="005D640F"/>
    <w:rsid w:val="005D6ADB"/>
    <w:rsid w:val="005F4EBA"/>
    <w:rsid w:val="005F53EF"/>
    <w:rsid w:val="005F58CB"/>
    <w:rsid w:val="005F612C"/>
    <w:rsid w:val="006016C5"/>
    <w:rsid w:val="00611F26"/>
    <w:rsid w:val="006129C7"/>
    <w:rsid w:val="0061484F"/>
    <w:rsid w:val="00615913"/>
    <w:rsid w:val="006243EF"/>
    <w:rsid w:val="00625851"/>
    <w:rsid w:val="00631CFA"/>
    <w:rsid w:val="00635CEF"/>
    <w:rsid w:val="006372B7"/>
    <w:rsid w:val="0064377C"/>
    <w:rsid w:val="00647303"/>
    <w:rsid w:val="00647BCB"/>
    <w:rsid w:val="0065009A"/>
    <w:rsid w:val="00651110"/>
    <w:rsid w:val="0065706F"/>
    <w:rsid w:val="00661698"/>
    <w:rsid w:val="00663492"/>
    <w:rsid w:val="0066489B"/>
    <w:rsid w:val="0066658E"/>
    <w:rsid w:val="00667837"/>
    <w:rsid w:val="00672970"/>
    <w:rsid w:val="00672BCC"/>
    <w:rsid w:val="00674C4B"/>
    <w:rsid w:val="006758CB"/>
    <w:rsid w:val="006767D7"/>
    <w:rsid w:val="00682022"/>
    <w:rsid w:val="00682918"/>
    <w:rsid w:val="006848CB"/>
    <w:rsid w:val="00686EA6"/>
    <w:rsid w:val="00687D41"/>
    <w:rsid w:val="00691A1D"/>
    <w:rsid w:val="006A1B6D"/>
    <w:rsid w:val="006A20EC"/>
    <w:rsid w:val="006A3227"/>
    <w:rsid w:val="006A4D20"/>
    <w:rsid w:val="006C3891"/>
    <w:rsid w:val="006C723B"/>
    <w:rsid w:val="006D4C5D"/>
    <w:rsid w:val="006E3067"/>
    <w:rsid w:val="006E5473"/>
    <w:rsid w:val="006F2C62"/>
    <w:rsid w:val="006F3DD0"/>
    <w:rsid w:val="006F7209"/>
    <w:rsid w:val="007029D4"/>
    <w:rsid w:val="007163A7"/>
    <w:rsid w:val="00716C48"/>
    <w:rsid w:val="00717177"/>
    <w:rsid w:val="007179AA"/>
    <w:rsid w:val="007233E9"/>
    <w:rsid w:val="00724A39"/>
    <w:rsid w:val="00724BB6"/>
    <w:rsid w:val="0072735B"/>
    <w:rsid w:val="007300A9"/>
    <w:rsid w:val="00730600"/>
    <w:rsid w:val="00731C57"/>
    <w:rsid w:val="007357D2"/>
    <w:rsid w:val="00745042"/>
    <w:rsid w:val="00755572"/>
    <w:rsid w:val="007564AA"/>
    <w:rsid w:val="00763BA6"/>
    <w:rsid w:val="0076615A"/>
    <w:rsid w:val="00773B11"/>
    <w:rsid w:val="0077422D"/>
    <w:rsid w:val="007861C7"/>
    <w:rsid w:val="00791E27"/>
    <w:rsid w:val="00795471"/>
    <w:rsid w:val="00795B93"/>
    <w:rsid w:val="00797D4D"/>
    <w:rsid w:val="007A0BC5"/>
    <w:rsid w:val="007A183E"/>
    <w:rsid w:val="007A2D6C"/>
    <w:rsid w:val="007A47EF"/>
    <w:rsid w:val="007B1230"/>
    <w:rsid w:val="007B5556"/>
    <w:rsid w:val="007B7231"/>
    <w:rsid w:val="007B72BE"/>
    <w:rsid w:val="007C1620"/>
    <w:rsid w:val="007C2EE5"/>
    <w:rsid w:val="007C3A6B"/>
    <w:rsid w:val="007C5323"/>
    <w:rsid w:val="007C75C0"/>
    <w:rsid w:val="007D0A46"/>
    <w:rsid w:val="007D0CAE"/>
    <w:rsid w:val="007D2B9F"/>
    <w:rsid w:val="007D407A"/>
    <w:rsid w:val="007D55E7"/>
    <w:rsid w:val="007D6218"/>
    <w:rsid w:val="007F30B8"/>
    <w:rsid w:val="007F62B8"/>
    <w:rsid w:val="00804760"/>
    <w:rsid w:val="0080488F"/>
    <w:rsid w:val="0080614F"/>
    <w:rsid w:val="00806B4D"/>
    <w:rsid w:val="008142D4"/>
    <w:rsid w:val="00820D4C"/>
    <w:rsid w:val="00823B2B"/>
    <w:rsid w:val="00825B86"/>
    <w:rsid w:val="00833BC8"/>
    <w:rsid w:val="00834659"/>
    <w:rsid w:val="00834D89"/>
    <w:rsid w:val="00835610"/>
    <w:rsid w:val="008402C5"/>
    <w:rsid w:val="00842FFE"/>
    <w:rsid w:val="0084502C"/>
    <w:rsid w:val="0084608A"/>
    <w:rsid w:val="0084725B"/>
    <w:rsid w:val="008547D0"/>
    <w:rsid w:val="00860F6E"/>
    <w:rsid w:val="00861920"/>
    <w:rsid w:val="00874DC4"/>
    <w:rsid w:val="00881229"/>
    <w:rsid w:val="00884127"/>
    <w:rsid w:val="00886CE8"/>
    <w:rsid w:val="00887DA3"/>
    <w:rsid w:val="0089054A"/>
    <w:rsid w:val="00890669"/>
    <w:rsid w:val="00891B6B"/>
    <w:rsid w:val="008946CE"/>
    <w:rsid w:val="00896B65"/>
    <w:rsid w:val="008A1CE7"/>
    <w:rsid w:val="008A43FA"/>
    <w:rsid w:val="008A5157"/>
    <w:rsid w:val="008A613A"/>
    <w:rsid w:val="008A7C39"/>
    <w:rsid w:val="008B3474"/>
    <w:rsid w:val="008B3F34"/>
    <w:rsid w:val="008B7059"/>
    <w:rsid w:val="008C2C7B"/>
    <w:rsid w:val="008C53E2"/>
    <w:rsid w:val="008D2295"/>
    <w:rsid w:val="008D28EF"/>
    <w:rsid w:val="008D66A0"/>
    <w:rsid w:val="008F3312"/>
    <w:rsid w:val="008F584D"/>
    <w:rsid w:val="008F708B"/>
    <w:rsid w:val="00901445"/>
    <w:rsid w:val="00902F6C"/>
    <w:rsid w:val="0090638D"/>
    <w:rsid w:val="009137E5"/>
    <w:rsid w:val="00916806"/>
    <w:rsid w:val="00922975"/>
    <w:rsid w:val="00925132"/>
    <w:rsid w:val="00927A5C"/>
    <w:rsid w:val="009300BB"/>
    <w:rsid w:val="00930917"/>
    <w:rsid w:val="0093147E"/>
    <w:rsid w:val="009371AD"/>
    <w:rsid w:val="00943861"/>
    <w:rsid w:val="00944BA0"/>
    <w:rsid w:val="00945322"/>
    <w:rsid w:val="00945650"/>
    <w:rsid w:val="00947F29"/>
    <w:rsid w:val="009511E2"/>
    <w:rsid w:val="00951974"/>
    <w:rsid w:val="009616A4"/>
    <w:rsid w:val="00965AC3"/>
    <w:rsid w:val="00966266"/>
    <w:rsid w:val="0097479C"/>
    <w:rsid w:val="009751ED"/>
    <w:rsid w:val="00983105"/>
    <w:rsid w:val="00983BAC"/>
    <w:rsid w:val="00983D91"/>
    <w:rsid w:val="00984D67"/>
    <w:rsid w:val="0099170D"/>
    <w:rsid w:val="0099403E"/>
    <w:rsid w:val="009A327B"/>
    <w:rsid w:val="009A7F65"/>
    <w:rsid w:val="009B1B4B"/>
    <w:rsid w:val="009B497A"/>
    <w:rsid w:val="009B537F"/>
    <w:rsid w:val="009B6D32"/>
    <w:rsid w:val="009B76A7"/>
    <w:rsid w:val="009B7B95"/>
    <w:rsid w:val="009C3B44"/>
    <w:rsid w:val="009C3E29"/>
    <w:rsid w:val="009D079E"/>
    <w:rsid w:val="009E19BC"/>
    <w:rsid w:val="009E20DD"/>
    <w:rsid w:val="009F1568"/>
    <w:rsid w:val="009F2142"/>
    <w:rsid w:val="009F29BD"/>
    <w:rsid w:val="009F4001"/>
    <w:rsid w:val="009F431B"/>
    <w:rsid w:val="009F6C96"/>
    <w:rsid w:val="00A00D1E"/>
    <w:rsid w:val="00A06D57"/>
    <w:rsid w:val="00A11028"/>
    <w:rsid w:val="00A1695C"/>
    <w:rsid w:val="00A239C5"/>
    <w:rsid w:val="00A36A1A"/>
    <w:rsid w:val="00A37517"/>
    <w:rsid w:val="00A42B3E"/>
    <w:rsid w:val="00A43B41"/>
    <w:rsid w:val="00A5147D"/>
    <w:rsid w:val="00A53339"/>
    <w:rsid w:val="00A551DC"/>
    <w:rsid w:val="00A55423"/>
    <w:rsid w:val="00A603E4"/>
    <w:rsid w:val="00A64E95"/>
    <w:rsid w:val="00A663FE"/>
    <w:rsid w:val="00A80AAA"/>
    <w:rsid w:val="00A80AF8"/>
    <w:rsid w:val="00A81C60"/>
    <w:rsid w:val="00A87367"/>
    <w:rsid w:val="00A87680"/>
    <w:rsid w:val="00A91D9F"/>
    <w:rsid w:val="00AA6D83"/>
    <w:rsid w:val="00AA7A52"/>
    <w:rsid w:val="00AA7B90"/>
    <w:rsid w:val="00AB0B68"/>
    <w:rsid w:val="00AB1FC6"/>
    <w:rsid w:val="00AB360B"/>
    <w:rsid w:val="00AB6CFB"/>
    <w:rsid w:val="00AC63F2"/>
    <w:rsid w:val="00AC775B"/>
    <w:rsid w:val="00AD37AD"/>
    <w:rsid w:val="00AD3B23"/>
    <w:rsid w:val="00AE7E88"/>
    <w:rsid w:val="00AF0B8B"/>
    <w:rsid w:val="00AF2060"/>
    <w:rsid w:val="00AF26E6"/>
    <w:rsid w:val="00AF3071"/>
    <w:rsid w:val="00AF41A2"/>
    <w:rsid w:val="00B00602"/>
    <w:rsid w:val="00B00A5D"/>
    <w:rsid w:val="00B01294"/>
    <w:rsid w:val="00B04B84"/>
    <w:rsid w:val="00B063BE"/>
    <w:rsid w:val="00B0764D"/>
    <w:rsid w:val="00B10CB1"/>
    <w:rsid w:val="00B21F94"/>
    <w:rsid w:val="00B230DB"/>
    <w:rsid w:val="00B25220"/>
    <w:rsid w:val="00B26579"/>
    <w:rsid w:val="00B337F6"/>
    <w:rsid w:val="00B33C71"/>
    <w:rsid w:val="00B36148"/>
    <w:rsid w:val="00B36691"/>
    <w:rsid w:val="00B56F73"/>
    <w:rsid w:val="00B61B68"/>
    <w:rsid w:val="00B659C9"/>
    <w:rsid w:val="00B6619D"/>
    <w:rsid w:val="00B66366"/>
    <w:rsid w:val="00B71841"/>
    <w:rsid w:val="00B71A66"/>
    <w:rsid w:val="00B77BD8"/>
    <w:rsid w:val="00B85BA1"/>
    <w:rsid w:val="00B90E92"/>
    <w:rsid w:val="00B944A6"/>
    <w:rsid w:val="00BA5BB8"/>
    <w:rsid w:val="00BA63D0"/>
    <w:rsid w:val="00BA77B3"/>
    <w:rsid w:val="00BA7D40"/>
    <w:rsid w:val="00BB460F"/>
    <w:rsid w:val="00BB4834"/>
    <w:rsid w:val="00BB7A43"/>
    <w:rsid w:val="00BC12CC"/>
    <w:rsid w:val="00BC5267"/>
    <w:rsid w:val="00BD36C9"/>
    <w:rsid w:val="00BD6B9D"/>
    <w:rsid w:val="00BE0D5A"/>
    <w:rsid w:val="00BE2B8E"/>
    <w:rsid w:val="00BE76E8"/>
    <w:rsid w:val="00BF075A"/>
    <w:rsid w:val="00BF0BAA"/>
    <w:rsid w:val="00BF3833"/>
    <w:rsid w:val="00C011F2"/>
    <w:rsid w:val="00C02321"/>
    <w:rsid w:val="00C0286B"/>
    <w:rsid w:val="00C03746"/>
    <w:rsid w:val="00C06F95"/>
    <w:rsid w:val="00C07F42"/>
    <w:rsid w:val="00C13D70"/>
    <w:rsid w:val="00C14B9E"/>
    <w:rsid w:val="00C2567E"/>
    <w:rsid w:val="00C2576B"/>
    <w:rsid w:val="00C25A06"/>
    <w:rsid w:val="00C26A34"/>
    <w:rsid w:val="00C27590"/>
    <w:rsid w:val="00C33076"/>
    <w:rsid w:val="00C36521"/>
    <w:rsid w:val="00C41D3F"/>
    <w:rsid w:val="00C423B7"/>
    <w:rsid w:val="00C47484"/>
    <w:rsid w:val="00C51D63"/>
    <w:rsid w:val="00C55436"/>
    <w:rsid w:val="00C63457"/>
    <w:rsid w:val="00C64659"/>
    <w:rsid w:val="00C65358"/>
    <w:rsid w:val="00C8193B"/>
    <w:rsid w:val="00C843AE"/>
    <w:rsid w:val="00C84C65"/>
    <w:rsid w:val="00C85B3A"/>
    <w:rsid w:val="00C86383"/>
    <w:rsid w:val="00C90470"/>
    <w:rsid w:val="00C93797"/>
    <w:rsid w:val="00C93DB7"/>
    <w:rsid w:val="00C95A24"/>
    <w:rsid w:val="00CA170F"/>
    <w:rsid w:val="00CA29FD"/>
    <w:rsid w:val="00CA626F"/>
    <w:rsid w:val="00CB0164"/>
    <w:rsid w:val="00CB295F"/>
    <w:rsid w:val="00CB58E3"/>
    <w:rsid w:val="00CB7F01"/>
    <w:rsid w:val="00CC0126"/>
    <w:rsid w:val="00CC09E5"/>
    <w:rsid w:val="00CC2911"/>
    <w:rsid w:val="00CC2A39"/>
    <w:rsid w:val="00CC2D2B"/>
    <w:rsid w:val="00CC6BCD"/>
    <w:rsid w:val="00CD0641"/>
    <w:rsid w:val="00CD7D59"/>
    <w:rsid w:val="00CE18C8"/>
    <w:rsid w:val="00CE1A4E"/>
    <w:rsid w:val="00CE2CBE"/>
    <w:rsid w:val="00CE57B7"/>
    <w:rsid w:val="00CE5A7B"/>
    <w:rsid w:val="00CF1C70"/>
    <w:rsid w:val="00CF2DCC"/>
    <w:rsid w:val="00CF5905"/>
    <w:rsid w:val="00D00EB1"/>
    <w:rsid w:val="00D022CD"/>
    <w:rsid w:val="00D04FFC"/>
    <w:rsid w:val="00D05B26"/>
    <w:rsid w:val="00D07617"/>
    <w:rsid w:val="00D0784B"/>
    <w:rsid w:val="00D1619F"/>
    <w:rsid w:val="00D26652"/>
    <w:rsid w:val="00D26B05"/>
    <w:rsid w:val="00D300E1"/>
    <w:rsid w:val="00D35698"/>
    <w:rsid w:val="00D36719"/>
    <w:rsid w:val="00D367E4"/>
    <w:rsid w:val="00D425E9"/>
    <w:rsid w:val="00D446C1"/>
    <w:rsid w:val="00D54310"/>
    <w:rsid w:val="00D563AF"/>
    <w:rsid w:val="00D56A04"/>
    <w:rsid w:val="00D57B1F"/>
    <w:rsid w:val="00D6089A"/>
    <w:rsid w:val="00D61D5E"/>
    <w:rsid w:val="00D637B5"/>
    <w:rsid w:val="00D6448F"/>
    <w:rsid w:val="00D711DE"/>
    <w:rsid w:val="00D73DA2"/>
    <w:rsid w:val="00D74289"/>
    <w:rsid w:val="00D763AF"/>
    <w:rsid w:val="00D8013D"/>
    <w:rsid w:val="00D81849"/>
    <w:rsid w:val="00D82434"/>
    <w:rsid w:val="00D83413"/>
    <w:rsid w:val="00D84D08"/>
    <w:rsid w:val="00D863BE"/>
    <w:rsid w:val="00D92B53"/>
    <w:rsid w:val="00DA34CD"/>
    <w:rsid w:val="00DA3F24"/>
    <w:rsid w:val="00DA4EE0"/>
    <w:rsid w:val="00DA72AF"/>
    <w:rsid w:val="00DC1B0B"/>
    <w:rsid w:val="00DC5EAC"/>
    <w:rsid w:val="00DE3CDB"/>
    <w:rsid w:val="00DE5CE6"/>
    <w:rsid w:val="00DF1C2A"/>
    <w:rsid w:val="00E0116D"/>
    <w:rsid w:val="00E03953"/>
    <w:rsid w:val="00E1165D"/>
    <w:rsid w:val="00E1237B"/>
    <w:rsid w:val="00E13B75"/>
    <w:rsid w:val="00E204E1"/>
    <w:rsid w:val="00E20ED0"/>
    <w:rsid w:val="00E217D7"/>
    <w:rsid w:val="00E25C6F"/>
    <w:rsid w:val="00E347C7"/>
    <w:rsid w:val="00E34D2D"/>
    <w:rsid w:val="00E439BB"/>
    <w:rsid w:val="00E4432C"/>
    <w:rsid w:val="00E463B6"/>
    <w:rsid w:val="00E54E14"/>
    <w:rsid w:val="00E565D9"/>
    <w:rsid w:val="00E62468"/>
    <w:rsid w:val="00E625CC"/>
    <w:rsid w:val="00E661A5"/>
    <w:rsid w:val="00E73A7C"/>
    <w:rsid w:val="00E75244"/>
    <w:rsid w:val="00E77D0D"/>
    <w:rsid w:val="00E8038E"/>
    <w:rsid w:val="00E805F3"/>
    <w:rsid w:val="00E80EE0"/>
    <w:rsid w:val="00E85A5A"/>
    <w:rsid w:val="00E87DE9"/>
    <w:rsid w:val="00E9530A"/>
    <w:rsid w:val="00E97F42"/>
    <w:rsid w:val="00EA0BFF"/>
    <w:rsid w:val="00EA2909"/>
    <w:rsid w:val="00EB37E6"/>
    <w:rsid w:val="00EB3AA3"/>
    <w:rsid w:val="00EB4E6D"/>
    <w:rsid w:val="00EB7BC7"/>
    <w:rsid w:val="00EC052E"/>
    <w:rsid w:val="00EC5EAE"/>
    <w:rsid w:val="00EC6753"/>
    <w:rsid w:val="00EE3D20"/>
    <w:rsid w:val="00EE5044"/>
    <w:rsid w:val="00EE521A"/>
    <w:rsid w:val="00EE6BD7"/>
    <w:rsid w:val="00EE6D7E"/>
    <w:rsid w:val="00EE73E6"/>
    <w:rsid w:val="00F00E93"/>
    <w:rsid w:val="00F02355"/>
    <w:rsid w:val="00F113B8"/>
    <w:rsid w:val="00F11EFC"/>
    <w:rsid w:val="00F15F0C"/>
    <w:rsid w:val="00F20167"/>
    <w:rsid w:val="00F213FB"/>
    <w:rsid w:val="00F25224"/>
    <w:rsid w:val="00F26E92"/>
    <w:rsid w:val="00F303AE"/>
    <w:rsid w:val="00F333B7"/>
    <w:rsid w:val="00F41942"/>
    <w:rsid w:val="00F425BD"/>
    <w:rsid w:val="00F438F8"/>
    <w:rsid w:val="00F43C86"/>
    <w:rsid w:val="00F44B79"/>
    <w:rsid w:val="00F478AE"/>
    <w:rsid w:val="00F53A06"/>
    <w:rsid w:val="00F5629C"/>
    <w:rsid w:val="00F63F15"/>
    <w:rsid w:val="00F63F1B"/>
    <w:rsid w:val="00F643F9"/>
    <w:rsid w:val="00F6453A"/>
    <w:rsid w:val="00F70252"/>
    <w:rsid w:val="00F70E4F"/>
    <w:rsid w:val="00F71B06"/>
    <w:rsid w:val="00F7648B"/>
    <w:rsid w:val="00F8337B"/>
    <w:rsid w:val="00F84360"/>
    <w:rsid w:val="00F84434"/>
    <w:rsid w:val="00F86470"/>
    <w:rsid w:val="00F940CD"/>
    <w:rsid w:val="00F9728B"/>
    <w:rsid w:val="00FA4EA6"/>
    <w:rsid w:val="00FA584C"/>
    <w:rsid w:val="00FB1BAB"/>
    <w:rsid w:val="00FB3F00"/>
    <w:rsid w:val="00FC22CB"/>
    <w:rsid w:val="00FC27AE"/>
    <w:rsid w:val="00FD000B"/>
    <w:rsid w:val="00FD1ACB"/>
    <w:rsid w:val="00FD2AD6"/>
    <w:rsid w:val="00FD3835"/>
    <w:rsid w:val="00FD410F"/>
    <w:rsid w:val="00FD4198"/>
    <w:rsid w:val="00FE01B3"/>
    <w:rsid w:val="00FE7A3C"/>
    <w:rsid w:val="00FF0073"/>
    <w:rsid w:val="00FF0CAD"/>
    <w:rsid w:val="00FF3514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19F8"/>
  <w15:docId w15:val="{D75E7B88-42E6-4392-8F6B-156B1CA7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7E6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7D2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D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D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Numbered para,List Paragraph (numbered (a)),References,Bullets,List Paragraph nowy,Numbered List Paragraph,Bullet1,List Paragraph 1,IBL List Paragraph,Body,Normal 2 DC"/>
    <w:basedOn w:val="Normal"/>
    <w:link w:val="ListParagraphChar"/>
    <w:uiPriority w:val="34"/>
    <w:qFormat/>
    <w:rsid w:val="00EB3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0D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06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D367E4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2">
    <w:name w:val="H 2"/>
    <w:basedOn w:val="Normal"/>
    <w:rsid w:val="00393451"/>
    <w:pPr>
      <w:numPr>
        <w:numId w:val="6"/>
      </w:numPr>
      <w:spacing w:after="240" w:line="240" w:lineRule="auto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393451"/>
    <w:pPr>
      <w:keepNext/>
      <w:numPr>
        <w:ilvl w:val="1"/>
        <w:numId w:val="6"/>
      </w:numPr>
      <w:spacing w:before="120" w:after="120" w:line="240" w:lineRule="auto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393451"/>
    <w:pPr>
      <w:numPr>
        <w:ilvl w:val="2"/>
        <w:numId w:val="6"/>
      </w:numPr>
      <w:tabs>
        <w:tab w:val="clear" w:pos="1701"/>
        <w:tab w:val="left" w:pos="851"/>
        <w:tab w:val="num" w:pos="1571"/>
      </w:tabs>
      <w:spacing w:after="240" w:line="240" w:lineRule="auto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393451"/>
    <w:pPr>
      <w:numPr>
        <w:ilvl w:val="3"/>
        <w:numId w:val="6"/>
      </w:numPr>
      <w:tabs>
        <w:tab w:val="clear" w:pos="1571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393451"/>
    <w:pPr>
      <w:numPr>
        <w:ilvl w:val="4"/>
        <w:numId w:val="6"/>
      </w:numPr>
      <w:tabs>
        <w:tab w:val="num" w:pos="1854"/>
      </w:tabs>
      <w:spacing w:after="240" w:line="240" w:lineRule="auto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393451"/>
    <w:pPr>
      <w:numPr>
        <w:ilvl w:val="5"/>
        <w:numId w:val="6"/>
      </w:numPr>
      <w:tabs>
        <w:tab w:val="clear" w:pos="1854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393451"/>
    <w:pPr>
      <w:numPr>
        <w:ilvl w:val="6"/>
        <w:numId w:val="6"/>
      </w:numPr>
      <w:tabs>
        <w:tab w:val="left" w:pos="1418"/>
        <w:tab w:val="num" w:pos="2498"/>
      </w:tabs>
      <w:spacing w:after="240" w:line="240" w:lineRule="auto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393451"/>
    <w:pPr>
      <w:numPr>
        <w:ilvl w:val="7"/>
        <w:numId w:val="6"/>
      </w:numPr>
      <w:tabs>
        <w:tab w:val="clear" w:pos="2498"/>
      </w:tabs>
      <w:spacing w:after="240" w:line="240" w:lineRule="auto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393451"/>
    <w:pPr>
      <w:numPr>
        <w:ilvl w:val="8"/>
        <w:numId w:val="6"/>
      </w:num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D2B9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bumpedfont15">
    <w:name w:val="bumpedfont15"/>
    <w:basedOn w:val="DefaultParagraphFont"/>
    <w:rsid w:val="00DA34CD"/>
  </w:style>
  <w:style w:type="character" w:customStyle="1" w:styleId="apple-converted-space">
    <w:name w:val="apple-converted-space"/>
    <w:basedOn w:val="DefaultParagraphFont"/>
    <w:uiPriority w:val="99"/>
    <w:rsid w:val="00DA34CD"/>
  </w:style>
  <w:style w:type="numbering" w:customStyle="1" w:styleId="NoList1">
    <w:name w:val="No List1"/>
    <w:next w:val="NoList"/>
    <w:uiPriority w:val="99"/>
    <w:semiHidden/>
    <w:unhideWhenUsed/>
    <w:rsid w:val="00CB295F"/>
  </w:style>
  <w:style w:type="paragraph" w:styleId="Header">
    <w:name w:val="header"/>
    <w:basedOn w:val="Normal"/>
    <w:link w:val="HeaderChar"/>
    <w:uiPriority w:val="99"/>
    <w:unhideWhenUsed/>
    <w:rsid w:val="00CB29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B29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B295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CB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B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B2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lanak-">
    <w:name w:val="clanak-"/>
    <w:basedOn w:val="Normal"/>
    <w:rsid w:val="00CB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B29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295F"/>
    <w:rPr>
      <w:b/>
      <w:bCs/>
    </w:rPr>
  </w:style>
  <w:style w:type="paragraph" w:customStyle="1" w:styleId="msonormal0">
    <w:name w:val="msonormal"/>
    <w:basedOn w:val="Normal"/>
    <w:rsid w:val="00CB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CB295F"/>
    <w:rPr>
      <w:color w:val="800080"/>
      <w:u w:val="single"/>
    </w:rPr>
  </w:style>
  <w:style w:type="table" w:customStyle="1" w:styleId="TableGrid2">
    <w:name w:val="Table Grid2"/>
    <w:basedOn w:val="TableNormal"/>
    <w:uiPriority w:val="59"/>
    <w:rsid w:val="00CB29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B295F"/>
  </w:style>
  <w:style w:type="table" w:customStyle="1" w:styleId="TableGrid4">
    <w:name w:val="Table Grid4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1 Char,Akapit z listą BS Char,Numbered para Char,List Paragraph (numbered (a)) Char,References Char,Bullets Char,List Paragraph nowy Char,Numbered List Paragraph Char"/>
    <w:link w:val="ListParagraph"/>
    <w:uiPriority w:val="34"/>
    <w:qFormat/>
    <w:rsid w:val="00CB295F"/>
  </w:style>
  <w:style w:type="character" w:customStyle="1" w:styleId="Zadanifontodlomka1">
    <w:name w:val="Zadani font odlomka1"/>
    <w:rsid w:val="00CB295F"/>
  </w:style>
  <w:style w:type="table" w:customStyle="1" w:styleId="Reetkatablice21">
    <w:name w:val="Rešetka tablice2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CB295F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95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CB29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295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31">
    <w:name w:val="Table Grid3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B29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CB295F"/>
    <w:rPr>
      <w:rFonts w:ascii="Calibri" w:eastAsia="Calibri" w:hAnsi="Calibri" w:cs="Times New Roman"/>
    </w:rPr>
  </w:style>
  <w:style w:type="table" w:customStyle="1" w:styleId="TableGrid34">
    <w:name w:val="Table Grid34"/>
    <w:basedOn w:val="TableNormal"/>
    <w:next w:val="TableGrid"/>
    <w:uiPriority w:val="59"/>
    <w:rsid w:val="00CB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3">
    <w:name w:val="No List3"/>
    <w:next w:val="NoList"/>
    <w:uiPriority w:val="99"/>
    <w:semiHidden/>
    <w:unhideWhenUsed/>
    <w:rsid w:val="00CC6BCD"/>
  </w:style>
  <w:style w:type="table" w:customStyle="1" w:styleId="TableGrid5">
    <w:name w:val="Table Grid5"/>
    <w:basedOn w:val="TableNormal"/>
    <w:next w:val="TableGrid"/>
    <w:uiPriority w:val="59"/>
    <w:rsid w:val="00CC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basedOn w:val="DefaultParagraphFont"/>
    <w:uiPriority w:val="99"/>
    <w:rsid w:val="00CC6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CC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4">
    <w:name w:val="No List4"/>
    <w:next w:val="NoList"/>
    <w:uiPriority w:val="99"/>
    <w:semiHidden/>
    <w:unhideWhenUsed/>
    <w:rsid w:val="00825B86"/>
  </w:style>
  <w:style w:type="numbering" w:customStyle="1" w:styleId="NoList11">
    <w:name w:val="No List11"/>
    <w:next w:val="NoList"/>
    <w:semiHidden/>
    <w:rsid w:val="00825B86"/>
  </w:style>
  <w:style w:type="table" w:customStyle="1" w:styleId="TableGrid8">
    <w:name w:val="Table Grid8"/>
    <w:basedOn w:val="TableNormal"/>
    <w:next w:val="TableGrid"/>
    <w:uiPriority w:val="59"/>
    <w:rsid w:val="00825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25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5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5D5"/>
  </w:style>
  <w:style w:type="table" w:customStyle="1" w:styleId="TableGrid9">
    <w:name w:val="Table Grid9"/>
    <w:basedOn w:val="TableNormal"/>
    <w:next w:val="TableGrid"/>
    <w:uiPriority w:val="59"/>
    <w:rsid w:val="001D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btitle">
    <w:name w:val="Subtitle"/>
    <w:basedOn w:val="Normal"/>
    <w:link w:val="SubtitleChar"/>
    <w:uiPriority w:val="11"/>
    <w:qFormat/>
    <w:rsid w:val="005720D0"/>
    <w:pPr>
      <w:spacing w:before="200" w:after="0" w:line="240" w:lineRule="auto"/>
      <w:contextualSpacing/>
      <w:jc w:val="center"/>
    </w:pPr>
    <w:rPr>
      <w:rFonts w:ascii="Calibri" w:hAnsi="Calibri" w:cs="Calibri"/>
      <w:color w:val="C45911"/>
      <w:sz w:val="52"/>
      <w:szCs w:val="5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720D0"/>
    <w:rPr>
      <w:rFonts w:ascii="Calibri" w:hAnsi="Calibri" w:cs="Calibri"/>
      <w:color w:val="C45911"/>
      <w:sz w:val="52"/>
      <w:szCs w:val="52"/>
      <w:lang w:eastAsia="ja-JP"/>
    </w:rPr>
  </w:style>
  <w:style w:type="table" w:customStyle="1" w:styleId="TableGrid13">
    <w:name w:val="Table Grid13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20D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table" w:customStyle="1" w:styleId="TableGrid15">
    <w:name w:val="Table Grid15"/>
    <w:basedOn w:val="TableNormal"/>
    <w:next w:val="TableGrid"/>
    <w:uiPriority w:val="59"/>
    <w:rsid w:val="005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5720D0"/>
  </w:style>
  <w:style w:type="character" w:customStyle="1" w:styleId="contentpasted1">
    <w:name w:val="contentpasted1"/>
    <w:basedOn w:val="DefaultParagraphFont"/>
    <w:rsid w:val="005720D0"/>
  </w:style>
  <w:style w:type="character" w:customStyle="1" w:styleId="contentpasted2">
    <w:name w:val="contentpasted2"/>
    <w:basedOn w:val="DefaultParagraphFont"/>
    <w:rsid w:val="005720D0"/>
  </w:style>
  <w:style w:type="character" w:customStyle="1" w:styleId="contentpasted3">
    <w:name w:val="contentpasted3"/>
    <w:basedOn w:val="DefaultParagraphFont"/>
    <w:rsid w:val="005720D0"/>
  </w:style>
  <w:style w:type="paragraph" w:customStyle="1" w:styleId="Default">
    <w:name w:val="Default"/>
    <w:rsid w:val="00572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">
    <w:name w:val="Bez"/>
    <w:rsid w:val="005720D0"/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F11EF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/default.aspx?id=494" TargetMode="External"/><Relationship Id="rId13" Type="http://schemas.openxmlformats.org/officeDocument/2006/relationships/hyperlink" Target="http://www.zagreb.hr/default.aspx?id=470" TargetMode="External"/><Relationship Id="rId18" Type="http://schemas.openxmlformats.org/officeDocument/2006/relationships/hyperlink" Target="http://www.zagreb.hr/UserDocsImages/odgoj_obrazovanje_spot/UcenickiDomovi.doc" TargetMode="External"/><Relationship Id="rId26" Type="http://schemas.openxmlformats.org/officeDocument/2006/relationships/hyperlink" Target="http://www.dobri-dom.hr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eb1.zagreb.hr/default.aspx?id=634" TargetMode="External"/><Relationship Id="rId34" Type="http://schemas.openxmlformats.org/officeDocument/2006/relationships/image" Target="media/image10.emf"/><Relationship Id="rId7" Type="http://schemas.openxmlformats.org/officeDocument/2006/relationships/image" Target="media/image2.png"/><Relationship Id="rId12" Type="http://schemas.openxmlformats.org/officeDocument/2006/relationships/hyperlink" Target="http://www.hitna-pomoc-zg.hr/" TargetMode="External"/><Relationship Id="rId17" Type="http://schemas.openxmlformats.org/officeDocument/2006/relationships/hyperlink" Target="http://web1.zagreb.hr/default.aspx?id=22067" TargetMode="External"/><Relationship Id="rId25" Type="http://schemas.openxmlformats.org/officeDocument/2006/relationships/hyperlink" Target="http://www.zagreb.hr/default.aspx?id=1815" TargetMode="External"/><Relationship Id="rId33" Type="http://schemas.openxmlformats.org/officeDocument/2006/relationships/image" Target="media/image9.emf"/><Relationship Id="rId38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hyperlink" Target="http://www.autizam.hr" TargetMode="External"/><Relationship Id="rId20" Type="http://schemas.openxmlformats.org/officeDocument/2006/relationships/hyperlink" Target="http://web1.zagreb.hr/default.aspx?id=634" TargetMode="External"/><Relationship Id="rId29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ampar.hr/Default.aspx" TargetMode="External"/><Relationship Id="rId24" Type="http://schemas.openxmlformats.org/officeDocument/2006/relationships/hyperlink" Target="http://web1.zagreb.hr/default.aspx?id=634" TargetMode="External"/><Relationship Id="rId32" Type="http://schemas.openxmlformats.org/officeDocument/2006/relationships/image" Target="media/image8.emf"/><Relationship Id="rId37" Type="http://schemas.openxmlformats.org/officeDocument/2006/relationships/image" Target="media/image13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ogoljak.hr" TargetMode="External"/><Relationship Id="rId23" Type="http://schemas.openxmlformats.org/officeDocument/2006/relationships/hyperlink" Target="http://web1.zagreb.hr/default.aspx?id=634" TargetMode="External"/><Relationship Id="rId28" Type="http://schemas.openxmlformats.org/officeDocument/2006/relationships/image" Target="media/image4.emf"/><Relationship Id="rId36" Type="http://schemas.openxmlformats.org/officeDocument/2006/relationships/image" Target="media/image12.emf"/><Relationship Id="rId10" Type="http://schemas.openxmlformats.org/officeDocument/2006/relationships/hyperlink" Target="http://www.zagreb.hr/default.aspx?id=469" TargetMode="External"/><Relationship Id="rId19" Type="http://schemas.openxmlformats.org/officeDocument/2006/relationships/hyperlink" Target="http://web1.zagreb.hr/default.aspx?id=634" TargetMode="External"/><Relationship Id="rId31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yperlink" Target="http://www.zagreb.hr/default.aspx?id=467" TargetMode="External"/><Relationship Id="rId14" Type="http://schemas.openxmlformats.org/officeDocument/2006/relationships/hyperlink" Target="http://www.zagreb.hr/UserDocsImages/odgoj_obrazovanje_spot/RedovneOsnovneSkole.doc" TargetMode="External"/><Relationship Id="rId22" Type="http://schemas.openxmlformats.org/officeDocument/2006/relationships/hyperlink" Target="http://web1.zagreb.hr/default.aspx?id=634" TargetMode="External"/><Relationship Id="rId27" Type="http://schemas.openxmlformats.org/officeDocument/2006/relationships/image" Target="media/image3.emf"/><Relationship Id="rId30" Type="http://schemas.openxmlformats.org/officeDocument/2006/relationships/image" Target="media/image6.emf"/><Relationship Id="rId35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01D1-FC3D-4674-85E3-9E785543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21</Pages>
  <Words>5778</Words>
  <Characters>32940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Petković</cp:lastModifiedBy>
  <cp:revision>50</cp:revision>
  <cp:lastPrinted>2025-11-13T12:36:00Z</cp:lastPrinted>
  <dcterms:created xsi:type="dcterms:W3CDTF">2025-11-11T15:05:00Z</dcterms:created>
  <dcterms:modified xsi:type="dcterms:W3CDTF">2025-12-22T06:52:00Z</dcterms:modified>
</cp:coreProperties>
</file>